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DBD" w:rsidRPr="00C82D19" w:rsidRDefault="00CC4DBD" w:rsidP="004D24E4">
      <w:pPr>
        <w:jc w:val="center"/>
        <w:rPr>
          <w:b/>
        </w:rPr>
      </w:pPr>
      <w:r w:rsidRPr="00C82D19">
        <w:rPr>
          <w:b/>
        </w:rPr>
        <w:t xml:space="preserve">BEYOND CONTAINMENT </w:t>
      </w:r>
    </w:p>
    <w:p w:rsidR="00CC4DBD" w:rsidRPr="00C82D19" w:rsidRDefault="00CC4DBD" w:rsidP="00EA19A7">
      <w:pPr>
        <w:jc w:val="center"/>
        <w:rPr>
          <w:b/>
        </w:rPr>
      </w:pPr>
      <w:r w:rsidRPr="00C82D19">
        <w:rPr>
          <w:b/>
        </w:rPr>
        <w:t>ASSESSING, TESTING AND DEMONSTRATING SAFETY ON RELEASE OF SYNBIO DEVICES AND CHASSIS</w:t>
      </w:r>
    </w:p>
    <w:p w:rsidR="00CC4DBD" w:rsidRPr="00C82D19" w:rsidRDefault="00CC4DBD" w:rsidP="00EA19A7">
      <w:pPr>
        <w:jc w:val="center"/>
        <w:rPr>
          <w:b/>
        </w:rPr>
      </w:pPr>
      <w:r w:rsidRPr="00C82D19">
        <w:rPr>
          <w:b/>
        </w:rPr>
        <w:t xml:space="preserve">An NSF SynBERC / MIT PoET / </w:t>
      </w:r>
      <w:smartTag w:uri="urn:schemas-microsoft-com:office:smarttags" w:element="place">
        <w:smartTag w:uri="urn:schemas-microsoft-com:office:smarttags" w:element="PlaceName">
          <w:r w:rsidRPr="00C82D19">
            <w:rPr>
              <w:b/>
            </w:rPr>
            <w:t>Smithsonian</w:t>
          </w:r>
        </w:smartTag>
        <w:r w:rsidRPr="00C82D19">
          <w:rPr>
            <w:b/>
          </w:rPr>
          <w:t xml:space="preserve"> </w:t>
        </w:r>
        <w:smartTag w:uri="urn:schemas-microsoft-com:office:smarttags" w:element="PlaceName">
          <w:r w:rsidRPr="00C82D19">
            <w:rPr>
              <w:b/>
            </w:rPr>
            <w:t>Woodrow</w:t>
          </w:r>
        </w:smartTag>
        <w:r w:rsidRPr="00C82D19">
          <w:rPr>
            <w:b/>
          </w:rPr>
          <w:t xml:space="preserve"> </w:t>
        </w:r>
        <w:smartTag w:uri="urn:schemas-microsoft-com:office:smarttags" w:element="PlaceName">
          <w:r w:rsidRPr="00C82D19">
            <w:rPr>
              <w:b/>
            </w:rPr>
            <w:t>Wilson</w:t>
          </w:r>
        </w:smartTag>
        <w:r w:rsidRPr="00C82D19">
          <w:rPr>
            <w:b/>
          </w:rPr>
          <w:t xml:space="preserve"> </w:t>
        </w:r>
        <w:smartTag w:uri="urn:schemas-microsoft-com:office:smarttags" w:element="PlaceName">
          <w:r w:rsidRPr="00C82D19">
            <w:rPr>
              <w:b/>
            </w:rPr>
            <w:t>Center</w:t>
          </w:r>
        </w:smartTag>
      </w:smartTag>
      <w:r w:rsidRPr="00C82D19">
        <w:rPr>
          <w:b/>
        </w:rPr>
        <w:t xml:space="preserve"> Exercise </w:t>
      </w:r>
    </w:p>
    <w:p w:rsidR="00CC4DBD" w:rsidRPr="00CB54C9" w:rsidRDefault="00CC4DBD" w:rsidP="00EA19A7">
      <w:pPr>
        <w:jc w:val="center"/>
        <w:rPr>
          <w:sz w:val="6"/>
          <w:szCs w:val="6"/>
        </w:rPr>
      </w:pPr>
    </w:p>
    <w:p w:rsidR="00CC4DBD" w:rsidRPr="00C82D19" w:rsidRDefault="00CC4DBD" w:rsidP="00EA19A7">
      <w:pPr>
        <w:jc w:val="center"/>
        <w:rPr>
          <w:b/>
        </w:rPr>
      </w:pPr>
      <w:smartTag w:uri="urn:schemas-microsoft-com:office:smarttags" w:element="PlaceName">
        <w:r w:rsidRPr="00C82D19">
          <w:rPr>
            <w:b/>
          </w:rPr>
          <w:t>Woodrow</w:t>
        </w:r>
      </w:smartTag>
      <w:r w:rsidRPr="00C82D19">
        <w:rPr>
          <w:b/>
        </w:rPr>
        <w:t xml:space="preserve"> </w:t>
      </w:r>
      <w:smartTag w:uri="urn:schemas-microsoft-com:office:smarttags" w:element="PlaceName">
        <w:r w:rsidRPr="00C82D19">
          <w:rPr>
            <w:b/>
          </w:rPr>
          <w:t>Wilson</w:t>
        </w:r>
      </w:smartTag>
      <w:r w:rsidRPr="00C82D19">
        <w:rPr>
          <w:b/>
        </w:rPr>
        <w:t xml:space="preserve"> </w:t>
      </w:r>
      <w:smartTag w:uri="urn:schemas-microsoft-com:office:smarttags" w:element="PlaceName">
        <w:r w:rsidRPr="00C82D19">
          <w:rPr>
            <w:b/>
          </w:rPr>
          <w:t>International</w:t>
        </w:r>
      </w:smartTag>
      <w:r w:rsidRPr="00C82D19">
        <w:rPr>
          <w:b/>
        </w:rPr>
        <w:t xml:space="preserve"> </w:t>
      </w:r>
      <w:smartTag w:uri="urn:schemas-microsoft-com:office:smarttags" w:element="PlaceType">
        <w:r w:rsidRPr="00C82D19">
          <w:rPr>
            <w:b/>
          </w:rPr>
          <w:t>Center</w:t>
        </w:r>
      </w:smartTag>
      <w:r w:rsidRPr="00C82D19">
        <w:rPr>
          <w:b/>
        </w:rPr>
        <w:t xml:space="preserve"> for </w:t>
      </w:r>
      <w:smartTag w:uri="urn:schemas-microsoft-com:office:smarttags" w:element="PlaceName">
        <w:r w:rsidRPr="00C82D19">
          <w:rPr>
            <w:b/>
          </w:rPr>
          <w:t>Scholars</w:t>
        </w:r>
      </w:smartTag>
      <w:r w:rsidRPr="00C82D19">
        <w:rPr>
          <w:b/>
        </w:rPr>
        <w:br/>
      </w:r>
      <w:smartTag w:uri="urn:schemas-microsoft-com:office:smarttags" w:element="PlaceName">
        <w:r w:rsidRPr="00C82D19">
          <w:rPr>
            <w:b/>
          </w:rPr>
          <w:t>Ronald</w:t>
        </w:r>
      </w:smartTag>
      <w:r w:rsidRPr="00C82D19">
        <w:rPr>
          <w:b/>
        </w:rPr>
        <w:t xml:space="preserve"> </w:t>
      </w:r>
      <w:smartTag w:uri="urn:schemas-microsoft-com:office:smarttags" w:element="PlaceName">
        <w:r w:rsidRPr="00C82D19">
          <w:rPr>
            <w:b/>
          </w:rPr>
          <w:t>Reagan</w:t>
        </w:r>
      </w:smartTag>
      <w:r w:rsidRPr="00C82D19">
        <w:rPr>
          <w:b/>
        </w:rPr>
        <w:t xml:space="preserve"> </w:t>
      </w:r>
      <w:smartTag w:uri="urn:schemas-microsoft-com:office:smarttags" w:element="PlaceType">
        <w:r w:rsidRPr="00C82D19">
          <w:rPr>
            <w:b/>
          </w:rPr>
          <w:t>Building</w:t>
        </w:r>
      </w:smartTag>
      <w:r w:rsidRPr="00C82D19">
        <w:rPr>
          <w:b/>
        </w:rPr>
        <w:t xml:space="preserve"> and </w:t>
      </w:r>
      <w:smartTag w:uri="urn:schemas-microsoft-com:office:smarttags" w:element="place">
        <w:smartTag w:uri="urn:schemas-microsoft-com:office:smarttags" w:element="PlaceName">
          <w:r w:rsidRPr="00C82D19">
            <w:rPr>
              <w:b/>
            </w:rPr>
            <w:t>International</w:t>
          </w:r>
        </w:smartTag>
        <w:r w:rsidRPr="00C82D19">
          <w:rPr>
            <w:b/>
          </w:rPr>
          <w:t xml:space="preserve"> </w:t>
        </w:r>
        <w:smartTag w:uri="urn:schemas-microsoft-com:office:smarttags" w:element="PlaceName">
          <w:r w:rsidRPr="00C82D19">
            <w:rPr>
              <w:b/>
            </w:rPr>
            <w:t>Trade</w:t>
          </w:r>
        </w:smartTag>
        <w:r w:rsidRPr="00C82D19">
          <w:rPr>
            <w:b/>
          </w:rPr>
          <w:t xml:space="preserve"> </w:t>
        </w:r>
        <w:smartTag w:uri="urn:schemas-microsoft-com:office:smarttags" w:element="PlaceType">
          <w:r w:rsidRPr="00C82D19">
            <w:rPr>
              <w:b/>
            </w:rPr>
            <w:t>Center</w:t>
          </w:r>
        </w:smartTag>
      </w:smartTag>
      <w:r w:rsidRPr="00C82D19">
        <w:rPr>
          <w:b/>
        </w:rPr>
        <w:t xml:space="preserve"> 1300 </w:t>
      </w:r>
      <w:smartTag w:uri="urn:schemas-microsoft-com:office:smarttags" w:element="address">
        <w:smartTag w:uri="urn:schemas-microsoft-com:office:smarttags" w:element="Street">
          <w:r w:rsidRPr="00C82D19">
            <w:rPr>
              <w:b/>
            </w:rPr>
            <w:t>Pennsylvania Ave., NW</w:t>
          </w:r>
        </w:smartTag>
        <w:r w:rsidRPr="00C82D19">
          <w:rPr>
            <w:b/>
          </w:rPr>
          <w:t xml:space="preserve">  </w:t>
        </w:r>
        <w:smartTag w:uri="urn:schemas-microsoft-com:office:smarttags" w:element="City">
          <w:r w:rsidRPr="00C82D19">
            <w:rPr>
              <w:b/>
            </w:rPr>
            <w:t>Washington</w:t>
          </w:r>
        </w:smartTag>
        <w:r w:rsidRPr="00C82D19">
          <w:rPr>
            <w:b/>
          </w:rPr>
          <w:t xml:space="preserve">, </w:t>
        </w:r>
        <w:smartTag w:uri="urn:schemas-microsoft-com:office:smarttags" w:element="State">
          <w:r w:rsidRPr="00C82D19">
            <w:rPr>
              <w:b/>
            </w:rPr>
            <w:t>DC</w:t>
          </w:r>
        </w:smartTag>
      </w:smartTag>
    </w:p>
    <w:p w:rsidR="00CC4DBD" w:rsidRPr="00C82D19" w:rsidRDefault="00CC4DBD" w:rsidP="00EA19A7">
      <w:pPr>
        <w:jc w:val="center"/>
        <w:rPr>
          <w:b/>
        </w:rPr>
      </w:pPr>
      <w:r w:rsidRPr="00C82D19">
        <w:rPr>
          <w:b/>
        </w:rPr>
        <w:t>January 13, 2011</w:t>
      </w:r>
    </w:p>
    <w:p w:rsidR="00CC4DBD" w:rsidRDefault="00CC4DBD" w:rsidP="00717754">
      <w:pPr>
        <w:jc w:val="both"/>
        <w:rPr>
          <w:b/>
          <w:bCs/>
          <w:u w:val="single"/>
        </w:rPr>
      </w:pPr>
    </w:p>
    <w:tbl>
      <w:tblPr>
        <w:tblW w:w="994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45"/>
      </w:tblGrid>
      <w:tr w:rsidR="00CC4DBD" w:rsidTr="00CC523B">
        <w:trPr>
          <w:trHeight w:val="2723"/>
        </w:trPr>
        <w:tc>
          <w:tcPr>
            <w:tcW w:w="9945" w:type="dxa"/>
          </w:tcPr>
          <w:p w:rsidR="00CC4DBD" w:rsidRPr="00347B56" w:rsidRDefault="00CC4DBD" w:rsidP="00347B56">
            <w:pPr>
              <w:ind w:left="230"/>
              <w:jc w:val="both"/>
              <w:rPr>
                <w:sz w:val="16"/>
                <w:szCs w:val="16"/>
                <w:u w:val="single"/>
              </w:rPr>
            </w:pPr>
          </w:p>
          <w:p w:rsidR="00CC4DBD" w:rsidRPr="00C17ED6" w:rsidRDefault="00CC4DBD" w:rsidP="00347B56">
            <w:pPr>
              <w:ind w:left="230"/>
              <w:jc w:val="both"/>
              <w:rPr>
                <w:u w:val="single"/>
              </w:rPr>
            </w:pPr>
            <w:r>
              <w:rPr>
                <w:u w:val="single"/>
              </w:rPr>
              <w:t xml:space="preserve">SECTION AND </w:t>
            </w:r>
            <w:r w:rsidRPr="00013867">
              <w:rPr>
                <w:u w:val="single"/>
              </w:rPr>
              <w:t>CONTENT</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PAGE</w:t>
            </w:r>
          </w:p>
          <w:p w:rsidR="00CC4DBD" w:rsidRPr="00013867" w:rsidRDefault="00CC4DBD" w:rsidP="00EB1DF6">
            <w:pPr>
              <w:numPr>
                <w:ilvl w:val="0"/>
                <w:numId w:val="14"/>
                <w:numberingChange w:id="0" w:author="Unknown" w:date="2011-01-12T15:27:00Z" w:original="%1:1:0:."/>
              </w:numPr>
              <w:ind w:left="950"/>
            </w:pPr>
            <w:r>
              <w:t>AGENDA  / EXECUTIVE SUMMARY……….…………………………………………………………………………..  3</w:t>
            </w:r>
          </w:p>
          <w:p w:rsidR="00CC4DBD" w:rsidRPr="00013867" w:rsidRDefault="00CC4DBD" w:rsidP="00EB1DF6">
            <w:pPr>
              <w:numPr>
                <w:ilvl w:val="0"/>
                <w:numId w:val="14"/>
                <w:numberingChange w:id="1" w:author="Unknown" w:date="2011-01-12T15:27:00Z" w:original="%1:2:0:."/>
              </w:numPr>
              <w:ind w:left="950"/>
            </w:pPr>
            <w:r w:rsidRPr="00013867">
              <w:t xml:space="preserve">OVERVIEW ON LUMIN </w:t>
            </w:r>
            <w:r>
              <w:t>BIO</w:t>
            </w:r>
            <w:r w:rsidRPr="00013867">
              <w:t xml:space="preserve">SENSOR </w:t>
            </w:r>
            <w:r>
              <w:t>(MUKUNDA)……………………………………………………………..   5</w:t>
            </w:r>
          </w:p>
          <w:p w:rsidR="00CC4DBD" w:rsidRDefault="00CC4DBD" w:rsidP="00EB1DF6">
            <w:pPr>
              <w:numPr>
                <w:ilvl w:val="0"/>
                <w:numId w:val="14"/>
                <w:numberingChange w:id="2" w:author="Unknown" w:date="2011-01-12T15:27:00Z" w:original="%1:3:0:."/>
              </w:numPr>
              <w:ind w:left="950"/>
            </w:pPr>
            <w:r w:rsidRPr="00013867">
              <w:t xml:space="preserve">TECHNICAL SUMMARY </w:t>
            </w:r>
            <w:r>
              <w:t xml:space="preserve">-- BIOSENSOR </w:t>
            </w:r>
            <w:r w:rsidRPr="00013867">
              <w:t xml:space="preserve">DETECTOR PATHWAYS </w:t>
            </w:r>
            <w:r>
              <w:t>(LIN/OWENS/SWARTZ) …...    8</w:t>
            </w:r>
          </w:p>
          <w:p w:rsidR="00CC4DBD" w:rsidRDefault="00CC4DBD" w:rsidP="00EB1DF6">
            <w:pPr>
              <w:numPr>
                <w:ilvl w:val="0"/>
                <w:numId w:val="14"/>
                <w:numberingChange w:id="3" w:author="Unknown" w:date="2011-01-12T15:27:00Z" w:original="%1:4:0:."/>
              </w:numPr>
              <w:ind w:left="950"/>
            </w:pPr>
            <w:r>
              <w:t xml:space="preserve">TECHNICAL SUMMARY -- </w:t>
            </w:r>
            <w:r w:rsidRPr="00013867">
              <w:t>JM109</w:t>
            </w:r>
            <w:r>
              <w:t xml:space="preserve"> AND R</w:t>
            </w:r>
            <w:r w:rsidRPr="00013867">
              <w:t xml:space="preserve">E.COLI  </w:t>
            </w:r>
            <w:r>
              <w:t>CHASSIS</w:t>
            </w:r>
            <w:r>
              <w:tab/>
              <w:t>(LIN/CARR/ SWARTZ)  …..   11</w:t>
            </w:r>
          </w:p>
          <w:p w:rsidR="00CC4DBD" w:rsidRDefault="00CC4DBD" w:rsidP="00EB1DF6">
            <w:pPr>
              <w:numPr>
                <w:ilvl w:val="0"/>
                <w:numId w:val="14"/>
                <w:numberingChange w:id="4" w:author="Unknown" w:date="2011-01-12T15:27:00Z" w:original="%1:5:0:."/>
              </w:numPr>
              <w:ind w:left="950"/>
            </w:pPr>
            <w:r>
              <w:t>TECHNICAL SUMMARY -- BIOREMEDIATION ATRAZINE EXAMPLE (LIN/SWARTZ) ……………  14</w:t>
            </w:r>
          </w:p>
          <w:p w:rsidR="00CC4DBD" w:rsidRPr="00013867" w:rsidRDefault="00CC4DBD" w:rsidP="00F848A2">
            <w:pPr>
              <w:numPr>
                <w:ilvl w:val="0"/>
                <w:numId w:val="14"/>
                <w:numberingChange w:id="5" w:author="Unknown" w:date="2011-01-12T15:27:00Z" w:original="%1:6:0:."/>
              </w:numPr>
              <w:ind w:left="950"/>
            </w:pPr>
            <w:r w:rsidRPr="00F848A2">
              <w:t>TECHNICAL REVIEW ESSAY – BIOREMEDIATION OF PETROLEUM</w:t>
            </w:r>
            <w:r w:rsidDel="00730E80">
              <w:t xml:space="preserve"> </w:t>
            </w:r>
            <w:r>
              <w:t>(MOHR)………………………   18</w:t>
            </w:r>
          </w:p>
          <w:p w:rsidR="00CC4DBD" w:rsidRDefault="00CC4DBD" w:rsidP="00EB1DF6">
            <w:pPr>
              <w:numPr>
                <w:ilvl w:val="0"/>
                <w:numId w:val="14"/>
                <w:numberingChange w:id="6" w:author="Unknown" w:date="2011-01-12T15:27:00Z" w:original="%1:7:0:."/>
              </w:numPr>
              <w:ind w:left="950"/>
            </w:pPr>
            <w:r w:rsidRPr="00013867">
              <w:t xml:space="preserve">SUMMARY OF </w:t>
            </w:r>
            <w:r>
              <w:t xml:space="preserve">POTENTIAL REGULATORY AUTHORITY </w:t>
            </w:r>
            <w:r w:rsidRPr="00013867">
              <w:t xml:space="preserve"> </w:t>
            </w:r>
            <w:r>
              <w:t>(REGARDH) ……..………………………….. 24</w:t>
            </w:r>
          </w:p>
          <w:p w:rsidR="00CC4DBD" w:rsidRDefault="00CC4DBD" w:rsidP="00EB1DF6">
            <w:pPr>
              <w:numPr>
                <w:ilvl w:val="0"/>
                <w:numId w:val="14"/>
                <w:numberingChange w:id="7" w:author="Unknown" w:date="2011-01-12T15:27:00Z" w:original="%1:8:0:."/>
              </w:numPr>
              <w:ind w:left="950"/>
            </w:pPr>
            <w:smartTag w:uri="urn:schemas-microsoft-com:office:smarttags" w:element="place">
              <w:smartTag w:uri="urn:schemas-microsoft-com:office:smarttags" w:element="country-region">
                <w:r w:rsidRPr="00013867">
                  <w:t>UK</w:t>
                </w:r>
              </w:smartTag>
            </w:smartTag>
            <w:r w:rsidRPr="00013867">
              <w:t xml:space="preserve"> DEFRA SUMMARY ON DELIBERATE RELEASE OF GM ORGANISMS </w:t>
            </w:r>
            <w:r>
              <w:t>(REGARDH)…………… 29</w:t>
            </w:r>
          </w:p>
          <w:p w:rsidR="00CC4DBD" w:rsidRPr="00C17ED6" w:rsidRDefault="00CC4DBD" w:rsidP="00EB1DF6">
            <w:pPr>
              <w:numPr>
                <w:ilvl w:val="0"/>
                <w:numId w:val="14"/>
                <w:numberingChange w:id="8" w:author="Unknown" w:date="2011-01-12T15:27:00Z" w:original="%1:9:0:."/>
              </w:numPr>
              <w:ind w:left="950"/>
            </w:pPr>
            <w:r>
              <w:t>PARTICIPANT AND CONTRIBUTOR BIOSKETCHES ……………………………………………………………. 31</w:t>
            </w:r>
          </w:p>
          <w:p w:rsidR="00CC4DBD" w:rsidRPr="00347B56" w:rsidRDefault="00CC4DBD" w:rsidP="00347B56">
            <w:pPr>
              <w:ind w:left="230"/>
              <w:jc w:val="both"/>
              <w:rPr>
                <w:sz w:val="16"/>
                <w:szCs w:val="16"/>
                <w:u w:val="single"/>
              </w:rPr>
            </w:pPr>
          </w:p>
        </w:tc>
      </w:tr>
    </w:tbl>
    <w:p w:rsidR="00CC4DBD" w:rsidRDefault="00CC4DBD" w:rsidP="00013867">
      <w:pPr>
        <w:jc w:val="both"/>
        <w:rPr>
          <w:u w:val="single"/>
        </w:rPr>
      </w:pPr>
    </w:p>
    <w:p w:rsidR="00CC4DBD" w:rsidRDefault="00CC4DBD" w:rsidP="00013867">
      <w:pPr>
        <w:jc w:val="both"/>
        <w:rPr>
          <w:u w:val="single"/>
        </w:rPr>
      </w:pPr>
      <w:r>
        <w:rPr>
          <w:u w:val="single"/>
        </w:rPr>
        <w:t>ESSENTIALS</w:t>
      </w:r>
    </w:p>
    <w:p w:rsidR="00CC4DBD" w:rsidRPr="00F22FE3" w:rsidRDefault="00CC4DBD" w:rsidP="00C17ED6">
      <w:pPr>
        <w:jc w:val="both"/>
        <w:rPr>
          <w:rFonts w:ascii="Arial" w:hAnsi="Arial" w:cs="Arial"/>
        </w:rPr>
      </w:pPr>
      <w:r w:rsidRPr="00F22FE3">
        <w:rPr>
          <w:rFonts w:cs="Calibri"/>
          <w:u w:val="single"/>
        </w:rPr>
        <w:t>Location:</w:t>
      </w:r>
      <w:r w:rsidRPr="00F22FE3">
        <w:rPr>
          <w:rFonts w:cs="Calibri"/>
        </w:rPr>
        <w:t xml:space="preserve">  </w:t>
      </w:r>
      <w:smartTag w:uri="urn:schemas-microsoft-com:office:smarttags" w:element="address">
        <w:smartTag w:uri="urn:schemas-microsoft-com:office:smarttags" w:element="Street">
          <w:r w:rsidRPr="00F22FE3">
            <w:t xml:space="preserve">1300 </w:t>
          </w:r>
          <w:r w:rsidRPr="00F22FE3">
            <w:rPr>
              <w:rFonts w:cs="Calibri"/>
            </w:rPr>
            <w:t>Pennsylvania Ave, NW</w:t>
          </w:r>
        </w:smartTag>
      </w:smartTag>
      <w:r w:rsidRPr="00F22FE3">
        <w:rPr>
          <w:rFonts w:cs="Calibri"/>
        </w:rPr>
        <w:t xml:space="preserve">, in the Joseph H. and Claire Flom Auditorium on the </w:t>
      </w:r>
      <w:r w:rsidRPr="00F22FE3">
        <w:rPr>
          <w:rFonts w:cs="Calibri"/>
          <w:b/>
        </w:rPr>
        <w:t>6th floor</w:t>
      </w:r>
      <w:r w:rsidRPr="00F22FE3">
        <w:rPr>
          <w:rFonts w:cs="Calibri"/>
        </w:rPr>
        <w:t xml:space="preserve">.  Due to security regulations, please allow extra time to enter the building. A photo I.D. is </w:t>
      </w:r>
      <w:r w:rsidRPr="00F22FE3">
        <w:rPr>
          <w:rFonts w:cs="Calibri"/>
          <w:b/>
        </w:rPr>
        <w:t xml:space="preserve">required </w:t>
      </w:r>
      <w:r w:rsidRPr="00F22FE3">
        <w:rPr>
          <w:rFonts w:cs="Calibri"/>
        </w:rPr>
        <w:t xml:space="preserve">for entry.  The Federal Triangle Metro Station is located at the </w:t>
      </w:r>
      <w:smartTag w:uri="urn:schemas-microsoft-com:office:smarttags" w:element="place">
        <w:smartTag w:uri="urn:schemas-microsoft-com:office:smarttags" w:element="PlaceName">
          <w:r w:rsidRPr="00F22FE3">
            <w:rPr>
              <w:rFonts w:cs="Calibri"/>
            </w:rPr>
            <w:t>Ronald</w:t>
          </w:r>
        </w:smartTag>
        <w:r w:rsidRPr="00F22FE3">
          <w:rPr>
            <w:rFonts w:cs="Calibri"/>
          </w:rPr>
          <w:t xml:space="preserve"> </w:t>
        </w:r>
        <w:smartTag w:uri="urn:schemas-microsoft-com:office:smarttags" w:element="PlaceName">
          <w:r w:rsidRPr="00F22FE3">
            <w:rPr>
              <w:rFonts w:cs="Calibri"/>
            </w:rPr>
            <w:t>Reagan</w:t>
          </w:r>
        </w:smartTag>
        <w:r w:rsidRPr="00F22FE3">
          <w:rPr>
            <w:rFonts w:cs="Calibri"/>
          </w:rPr>
          <w:t xml:space="preserve"> </w:t>
        </w:r>
        <w:smartTag w:uri="urn:schemas-microsoft-com:office:smarttags" w:element="PlaceType">
          <w:r w:rsidRPr="00F22FE3">
            <w:rPr>
              <w:rFonts w:cs="Calibri"/>
            </w:rPr>
            <w:t>Building</w:t>
          </w:r>
        </w:smartTag>
      </w:smartTag>
      <w:r w:rsidRPr="00F22FE3">
        <w:rPr>
          <w:rFonts w:cs="Calibri"/>
        </w:rPr>
        <w:t>.</w:t>
      </w:r>
    </w:p>
    <w:p w:rsidR="00CC4DBD" w:rsidRDefault="00CC4DBD" w:rsidP="00C17ED6">
      <w:pPr>
        <w:jc w:val="both"/>
      </w:pPr>
      <w:r>
        <w:t xml:space="preserve"> </w:t>
      </w:r>
    </w:p>
    <w:p w:rsidR="00CC4DBD" w:rsidRDefault="00CC4DBD" w:rsidP="00C17ED6">
      <w:pPr>
        <w:jc w:val="both"/>
      </w:pPr>
      <w:r w:rsidRPr="00E50FB0">
        <w:rPr>
          <w:rFonts w:ascii="Arial" w:hAnsi="Arial" w:cs="Arial"/>
          <w:noProof/>
          <w:sz w:val="18"/>
          <w:szCs w:val="18"/>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Woodrow Wilson Center Map" style="width:164.25pt;height:174pt;visibility:visible">
            <v:imagedata r:id="rId7" o:title=""/>
          </v:shape>
        </w:pict>
      </w:r>
    </w:p>
    <w:p w:rsidR="00CC4DBD" w:rsidRDefault="00CC4DBD" w:rsidP="00C17ED6">
      <w:pPr>
        <w:jc w:val="both"/>
      </w:pPr>
    </w:p>
    <w:p w:rsidR="00CC4DBD" w:rsidRDefault="00CC4DBD" w:rsidP="00013867">
      <w:pPr>
        <w:jc w:val="both"/>
      </w:pPr>
      <w:r>
        <w:rPr>
          <w:u w:val="single"/>
        </w:rPr>
        <w:t>Materials:</w:t>
      </w:r>
      <w:r w:rsidRPr="00EA19A7">
        <w:t xml:space="preserve"> </w:t>
      </w:r>
      <w:r>
        <w:t xml:space="preserve"> Notebooks with hardcopies of these emailed materials and updated information will be provided at the </w:t>
      </w:r>
      <w:smartTag w:uri="urn:schemas-microsoft-com:office:smarttags" w:element="place">
        <w:smartTag w:uri="urn:schemas-microsoft-com:office:smarttags" w:element="PlaceName">
          <w:r>
            <w:t>Wilson</w:t>
          </w:r>
        </w:smartTag>
        <w:r>
          <w:t xml:space="preserve"> </w:t>
        </w:r>
        <w:smartTag w:uri="urn:schemas-microsoft-com:office:smarttags" w:element="PlaceName">
          <w:r>
            <w:t>Center</w:t>
          </w:r>
        </w:smartTag>
      </w:smartTag>
      <w:r>
        <w:t xml:space="preserve"> on the day of the conference.  </w:t>
      </w:r>
    </w:p>
    <w:p w:rsidR="00CC4DBD" w:rsidRDefault="00CC4DBD" w:rsidP="00013867">
      <w:pPr>
        <w:jc w:val="both"/>
      </w:pPr>
    </w:p>
    <w:p w:rsidR="00CC4DBD" w:rsidRDefault="00CC4DBD" w:rsidP="000401C0">
      <w:pPr>
        <w:jc w:val="both"/>
      </w:pPr>
      <w:r>
        <w:rPr>
          <w:u w:val="single"/>
        </w:rPr>
        <w:t>Meals</w:t>
      </w:r>
      <w:r w:rsidRPr="00013867">
        <w:rPr>
          <w:u w:val="single"/>
        </w:rPr>
        <w:t>:</w:t>
      </w:r>
      <w:r>
        <w:t xml:space="preserve"> Light breakfast (8:30-9:00 AM), coffee breaks and lunch will accommodate vegetarians, carnivores and omnivores.  We will hold an optional </w:t>
      </w:r>
      <w:r w:rsidRPr="00013867">
        <w:t xml:space="preserve">dinner on Thursday evening for </w:t>
      </w:r>
      <w:r>
        <w:t>interested participants. P</w:t>
      </w:r>
      <w:r w:rsidRPr="00013867">
        <w:t xml:space="preserve">lease </w:t>
      </w:r>
      <w:r>
        <w:t xml:space="preserve">contact Rebecca to </w:t>
      </w:r>
      <w:r w:rsidRPr="00013867">
        <w:t xml:space="preserve">indicate if you will be staying for dinner. </w:t>
      </w:r>
    </w:p>
    <w:p w:rsidR="00CC4DBD" w:rsidRDefault="00CC4DBD" w:rsidP="000401C0">
      <w:pPr>
        <w:jc w:val="both"/>
      </w:pPr>
    </w:p>
    <w:p w:rsidR="00CC4DBD" w:rsidRDefault="00CC4DBD" w:rsidP="003B331C">
      <w:r>
        <w:rPr>
          <w:u w:val="single"/>
        </w:rPr>
        <w:t>Further Information</w:t>
      </w:r>
      <w:r w:rsidRPr="00013867">
        <w:rPr>
          <w:u w:val="single"/>
        </w:rPr>
        <w:t>:</w:t>
      </w:r>
      <w:r>
        <w:t xml:space="preserve">  Please contact Rebecca Ochoa </w:t>
      </w:r>
      <w:hyperlink r:id="rId8" w:history="1">
        <w:r w:rsidRPr="00214D4E">
          <w:rPr>
            <w:rStyle w:val="Hyperlink"/>
          </w:rPr>
          <w:t>rochoa@mit.edu</w:t>
        </w:r>
      </w:hyperlink>
      <w:r>
        <w:t xml:space="preserve"> 617-253-8306 (office) or 951-809-8233 (mobile); Kenneth Oye at 617-253-3412 (office) or 781-492-1121 (mobile), or Todd Kuiken  </w:t>
      </w:r>
      <w:r>
        <w:rPr>
          <w:rFonts w:ascii="Tahoma" w:hAnsi="Tahoma" w:cs="Tahoma"/>
          <w:sz w:val="20"/>
          <w:szCs w:val="20"/>
        </w:rPr>
        <w:t>(202) 691-4398</w:t>
      </w:r>
      <w:r>
        <w:t xml:space="preserve">.    </w:t>
      </w:r>
    </w:p>
    <w:p w:rsidR="00CC4DBD" w:rsidRDefault="00CC4DBD" w:rsidP="003B331C"/>
    <w:p w:rsidR="00CC4DBD" w:rsidRPr="00C17ED6" w:rsidRDefault="00CC4DBD" w:rsidP="00C17ED6">
      <w:pPr>
        <w:jc w:val="both"/>
        <w:rPr>
          <w:u w:val="single"/>
        </w:rPr>
      </w:pPr>
      <w:r>
        <w:rPr>
          <w:u w:val="single"/>
        </w:rPr>
        <w:t>PARTICIPANT LIST</w:t>
      </w:r>
      <w:r w:rsidRPr="00135651">
        <w:t xml:space="preserve"> – </w:t>
      </w:r>
    </w:p>
    <w:p w:rsidR="00CC4DBD" w:rsidRPr="00C17ED6" w:rsidRDefault="00CC4DBD" w:rsidP="00C17ED6">
      <w:pPr>
        <w:jc w:val="both"/>
        <w:rPr>
          <w:u w:val="single"/>
        </w:rPr>
      </w:pPr>
    </w:p>
    <w:p w:rsidR="00CC4DBD" w:rsidRPr="00DA4C3A" w:rsidRDefault="00CC4DBD" w:rsidP="00303586">
      <w:pPr>
        <w:spacing w:after="120"/>
        <w:ind w:right="44"/>
        <w:rPr>
          <w:rFonts w:cs="Calibri"/>
        </w:rPr>
      </w:pPr>
      <w:r w:rsidRPr="00DA4C3A">
        <w:rPr>
          <w:rFonts w:cs="Calibri"/>
          <w:u w:val="single"/>
        </w:rPr>
        <w:t>Peter Carr</w:t>
      </w:r>
      <w:r w:rsidRPr="00DA4C3A">
        <w:rPr>
          <w:rFonts w:cs="Calibri"/>
        </w:rPr>
        <w:t xml:space="preserve"> Research Scientist, Molecular Machines group, MIT Media Lab, iGEM organizer, rE.Coli project</w:t>
      </w:r>
    </w:p>
    <w:p w:rsidR="00CC4DBD" w:rsidRPr="00DA4C3A" w:rsidRDefault="00CC4DBD" w:rsidP="00303586">
      <w:pPr>
        <w:spacing w:after="120"/>
        <w:ind w:right="44"/>
        <w:rPr>
          <w:rFonts w:cs="Calibri"/>
        </w:rPr>
      </w:pPr>
      <w:r w:rsidRPr="00DA4C3A">
        <w:rPr>
          <w:rFonts w:cs="Calibri"/>
          <w:u w:val="single"/>
        </w:rPr>
        <w:t>Hongda Chen</w:t>
      </w:r>
      <w:r w:rsidRPr="00DA4C3A">
        <w:rPr>
          <w:rFonts w:cs="Calibri"/>
          <w:color w:val="000000"/>
        </w:rPr>
        <w:t xml:space="preserve"> </w:t>
      </w:r>
      <w:r w:rsidRPr="00DA4C3A">
        <w:rPr>
          <w:rFonts w:cs="Calibri"/>
        </w:rPr>
        <w:t>National Program Leader, Bioprocess Engineering and Nanotechnology in NIFA of USDA</w:t>
      </w:r>
    </w:p>
    <w:p w:rsidR="00CC4DBD" w:rsidRPr="00DA4C3A" w:rsidRDefault="00CC4DBD" w:rsidP="00303586">
      <w:pPr>
        <w:spacing w:after="120"/>
        <w:ind w:right="44"/>
        <w:rPr>
          <w:rFonts w:cs="Calibri"/>
        </w:rPr>
      </w:pPr>
      <w:r w:rsidRPr="00DA4C3A">
        <w:rPr>
          <w:rFonts w:cs="Calibri"/>
          <w:u w:val="single"/>
        </w:rPr>
        <w:t>George Church</w:t>
      </w:r>
      <w:r w:rsidRPr="00DA4C3A">
        <w:rPr>
          <w:rFonts w:cs="Calibri"/>
        </w:rPr>
        <w:t xml:space="preserve"> Professor of Genetics at </w:t>
      </w:r>
      <w:smartTag w:uri="urn:schemas-microsoft-com:office:smarttags" w:element="place">
        <w:smartTag w:uri="urn:schemas-microsoft-com:office:smarttags" w:element="PlaceName">
          <w:r w:rsidRPr="00DA4C3A">
            <w:rPr>
              <w:rFonts w:cs="Calibri"/>
            </w:rPr>
            <w:t>Harvard</w:t>
          </w:r>
        </w:smartTag>
        <w:r w:rsidRPr="00DA4C3A">
          <w:rPr>
            <w:rFonts w:cs="Calibri"/>
          </w:rPr>
          <w:t xml:space="preserve"> </w:t>
        </w:r>
        <w:smartTag w:uri="urn:schemas-microsoft-com:office:smarttags" w:element="PlaceName">
          <w:r w:rsidRPr="00DA4C3A">
            <w:rPr>
              <w:rFonts w:cs="Calibri"/>
            </w:rPr>
            <w:t>Medical</w:t>
          </w:r>
        </w:smartTag>
        <w:r w:rsidRPr="00DA4C3A">
          <w:rPr>
            <w:rFonts w:cs="Calibri"/>
          </w:rPr>
          <w:t xml:space="preserve"> </w:t>
        </w:r>
        <w:smartTag w:uri="urn:schemas-microsoft-com:office:smarttags" w:element="PlaceType">
          <w:r w:rsidRPr="00DA4C3A">
            <w:rPr>
              <w:rFonts w:cs="Calibri"/>
            </w:rPr>
            <w:t>School</w:t>
          </w:r>
        </w:smartTag>
      </w:smartTag>
      <w:r w:rsidRPr="00DA4C3A">
        <w:rPr>
          <w:rFonts w:cs="Calibri"/>
        </w:rPr>
        <w:t>, SynBERC PI, rE.coli project</w:t>
      </w:r>
    </w:p>
    <w:p w:rsidR="00CC4DBD" w:rsidRPr="00DA4C3A" w:rsidRDefault="00CC4DBD" w:rsidP="00303586">
      <w:pPr>
        <w:spacing w:after="120"/>
        <w:rPr>
          <w:rFonts w:cs="Calibri"/>
          <w:i/>
          <w:iCs/>
        </w:rPr>
      </w:pPr>
      <w:r w:rsidRPr="00DA4C3A">
        <w:rPr>
          <w:rFonts w:cs="Calibri"/>
          <w:u w:val="single"/>
        </w:rPr>
        <w:t>Genya Dana</w:t>
      </w:r>
      <w:r w:rsidRPr="00DA4C3A">
        <w:rPr>
          <w:rFonts w:cs="Calibri"/>
        </w:rPr>
        <w:t xml:space="preserve"> ORISE Research Fellow at </w:t>
      </w:r>
      <w:hyperlink r:id="rId9" w:history="1">
        <w:r w:rsidRPr="00DA4C3A">
          <w:rPr>
            <w:rFonts w:cs="Calibri"/>
          </w:rPr>
          <w:t>U.S. EPA</w:t>
        </w:r>
      </w:hyperlink>
      <w:r w:rsidRPr="00DA4C3A">
        <w:rPr>
          <w:rFonts w:cs="Calibri"/>
        </w:rPr>
        <w:t xml:space="preserve">, Co-editor </w:t>
      </w:r>
      <w:r w:rsidRPr="00DA4C3A">
        <w:rPr>
          <w:rFonts w:cs="Calibri"/>
          <w:i/>
          <w:iCs/>
        </w:rPr>
        <w:t>Environmental Risk Assessment of GMOs</w:t>
      </w:r>
    </w:p>
    <w:p w:rsidR="00CC4DBD" w:rsidRPr="003248D9" w:rsidRDefault="00CC4DBD" w:rsidP="00303586">
      <w:pPr>
        <w:pStyle w:val="Heading5"/>
        <w:spacing w:before="0" w:after="120"/>
        <w:ind w:right="44"/>
        <w:rPr>
          <w:rFonts w:cs="Calibri"/>
          <w:b w:val="0"/>
          <w:color w:val="000000"/>
          <w:sz w:val="22"/>
          <w:szCs w:val="22"/>
          <w:u w:val="single"/>
        </w:rPr>
      </w:pPr>
      <w:r w:rsidRPr="00396E9C">
        <w:rPr>
          <w:rFonts w:cs="Calibri"/>
          <w:b w:val="0"/>
          <w:i w:val="0"/>
          <w:sz w:val="22"/>
          <w:szCs w:val="22"/>
          <w:u w:val="single"/>
        </w:rPr>
        <w:t>Diane DeEul</w:t>
      </w:r>
      <w:r w:rsidRPr="00396E9C">
        <w:rPr>
          <w:rFonts w:cs="Calibri"/>
          <w:b w:val="0"/>
          <w:bCs w:val="0"/>
          <w:i w:val="0"/>
          <w:iCs w:val="0"/>
          <w:sz w:val="22"/>
          <w:szCs w:val="22"/>
          <w:u w:val="single"/>
        </w:rPr>
        <w:t>i</w:t>
      </w:r>
      <w:r w:rsidRPr="00396E9C">
        <w:rPr>
          <w:rFonts w:cs="Calibri"/>
          <w:b w:val="0"/>
          <w:i w:val="0"/>
          <w:sz w:val="22"/>
          <w:szCs w:val="22"/>
          <w:u w:val="single"/>
        </w:rPr>
        <w:t>is</w:t>
      </w:r>
      <w:r w:rsidRPr="00B64A0D">
        <w:rPr>
          <w:rFonts w:cs="Calibri"/>
          <w:b w:val="0"/>
          <w:sz w:val="22"/>
          <w:szCs w:val="22"/>
        </w:rPr>
        <w:t xml:space="preserve"> </w:t>
      </w:r>
      <w:r w:rsidRPr="002C0F18">
        <w:rPr>
          <w:rFonts w:cs="Calibri"/>
          <w:b w:val="0"/>
          <w:i w:val="0"/>
          <w:sz w:val="22"/>
          <w:szCs w:val="22"/>
        </w:rPr>
        <w:t>Assistant Director, Life Sciences, Office of Science and Technology Policy</w:t>
      </w:r>
    </w:p>
    <w:p w:rsidR="00CC4DBD" w:rsidRPr="00DA4C3A" w:rsidRDefault="00CC4DBD" w:rsidP="00303586">
      <w:pPr>
        <w:spacing w:after="120"/>
        <w:rPr>
          <w:rFonts w:cs="Calibri"/>
        </w:rPr>
      </w:pPr>
      <w:r w:rsidRPr="00DA4C3A">
        <w:rPr>
          <w:rFonts w:cs="Calibri"/>
          <w:u w:val="single"/>
        </w:rPr>
        <w:t>Debapriya Dutta</w:t>
      </w:r>
      <w:r w:rsidRPr="00DA4C3A">
        <w:rPr>
          <w:rFonts w:cs="Calibri"/>
        </w:rPr>
        <w:t xml:space="preserve"> Counselor S&amp;T, Indian Embassy</w:t>
      </w:r>
    </w:p>
    <w:p w:rsidR="00CC4DBD" w:rsidRPr="00DA4C3A" w:rsidRDefault="00CC4DBD" w:rsidP="00303586">
      <w:pPr>
        <w:pStyle w:val="Heading5"/>
        <w:spacing w:before="0" w:after="120"/>
        <w:ind w:right="44"/>
        <w:rPr>
          <w:rFonts w:cs="Calibri"/>
          <w:b w:val="0"/>
          <w:bCs w:val="0"/>
          <w:i w:val="0"/>
          <w:iCs w:val="0"/>
          <w:sz w:val="22"/>
          <w:szCs w:val="22"/>
        </w:rPr>
      </w:pPr>
      <w:r w:rsidRPr="00DA4C3A">
        <w:rPr>
          <w:rFonts w:cs="Calibri"/>
          <w:b w:val="0"/>
          <w:bCs w:val="0"/>
          <w:i w:val="0"/>
          <w:iCs w:val="0"/>
          <w:sz w:val="22"/>
          <w:szCs w:val="22"/>
          <w:u w:val="single"/>
        </w:rPr>
        <w:t>Steve L. Evans</w:t>
      </w:r>
      <w:r w:rsidRPr="00A3199A">
        <w:rPr>
          <w:rFonts w:cs="Calibri"/>
          <w:b w:val="0"/>
          <w:bCs w:val="0"/>
          <w:i w:val="0"/>
          <w:iCs w:val="0"/>
          <w:sz w:val="22"/>
          <w:szCs w:val="22"/>
        </w:rPr>
        <w:t xml:space="preserve"> </w:t>
      </w:r>
      <w:r w:rsidRPr="00DA4C3A">
        <w:rPr>
          <w:rFonts w:cs="Calibri"/>
          <w:b w:val="0"/>
          <w:bCs w:val="0"/>
          <w:i w:val="0"/>
          <w:iCs w:val="0"/>
          <w:sz w:val="22"/>
          <w:szCs w:val="22"/>
        </w:rPr>
        <w:t xml:space="preserve">Fellow, Dow AgroSciences and Vice Chair of  SynBERC Industrial Advisory Council   </w:t>
      </w:r>
    </w:p>
    <w:p w:rsidR="00CC4DBD" w:rsidRDefault="00CC4DBD" w:rsidP="00766A10">
      <w:pPr>
        <w:spacing w:after="120"/>
        <w:rPr>
          <w:rFonts w:cs="Calibri"/>
        </w:rPr>
      </w:pPr>
      <w:r w:rsidRPr="00DA4C3A">
        <w:rPr>
          <w:rFonts w:cs="Calibri"/>
          <w:u w:val="single"/>
        </w:rPr>
        <w:t>Eric Hoffman</w:t>
      </w:r>
      <w:r w:rsidRPr="00DA4C3A">
        <w:rPr>
          <w:rFonts w:cs="Calibri"/>
        </w:rPr>
        <w:t xml:space="preserve"> Biotechnology policy campaigner for Friends of the Earth</w:t>
      </w:r>
    </w:p>
    <w:p w:rsidR="00CC4DBD" w:rsidRPr="00766A10" w:rsidRDefault="00CC4DBD" w:rsidP="00766A10">
      <w:pPr>
        <w:spacing w:after="120"/>
        <w:rPr>
          <w:rFonts w:cs="Tahoma"/>
          <w:color w:val="000000"/>
        </w:rPr>
      </w:pPr>
      <w:r w:rsidRPr="00766A10">
        <w:rPr>
          <w:rFonts w:eastAsia="SimSun"/>
          <w:u w:val="single"/>
          <w:lang w:eastAsia="zh-CN"/>
        </w:rPr>
        <w:t>Mr. M. Sha</w:t>
      </w:r>
      <w:r w:rsidRPr="00766A10">
        <w:rPr>
          <w:rFonts w:eastAsia="SimSun" w:cs="Arial"/>
          <w:u w:val="single"/>
          <w:lang w:eastAsia="zh-CN"/>
        </w:rPr>
        <w:t>fiqul Islam</w:t>
      </w:r>
      <w:r w:rsidRPr="00766A10">
        <w:rPr>
          <w:rFonts w:eastAsia="SimSun" w:cs="Arial"/>
          <w:lang w:eastAsia="zh-CN"/>
        </w:rPr>
        <w:t xml:space="preserve"> Counselor (Commerce)</w:t>
      </w:r>
      <w:r w:rsidRPr="00766A10">
        <w:rPr>
          <w:rFonts w:eastAsia="SimSun"/>
          <w:lang w:eastAsia="zh-CN"/>
        </w:rPr>
        <w:t xml:space="preserve">, </w:t>
      </w:r>
      <w:smartTag w:uri="urn:schemas-microsoft-com:office:smarttags" w:element="country-region">
        <w:smartTag w:uri="urn:schemas-microsoft-com:office:smarttags" w:element="place">
          <w:r w:rsidRPr="00766A10">
            <w:rPr>
              <w:rFonts w:cs="Tahoma"/>
              <w:color w:val="000000"/>
            </w:rPr>
            <w:t>Bangladesh</w:t>
          </w:r>
        </w:smartTag>
      </w:smartTag>
      <w:r w:rsidRPr="00766A10">
        <w:rPr>
          <w:rFonts w:cs="Tahoma"/>
          <w:color w:val="000000"/>
        </w:rPr>
        <w:t xml:space="preserve"> Embassy</w:t>
      </w:r>
    </w:p>
    <w:p w:rsidR="00CC4DBD" w:rsidRPr="00DA4C3A" w:rsidRDefault="00CC4DBD" w:rsidP="00766A10">
      <w:pPr>
        <w:spacing w:after="120"/>
        <w:rPr>
          <w:rFonts w:cs="Calibri"/>
          <w:u w:val="single"/>
        </w:rPr>
      </w:pPr>
      <w:smartTag w:uri="urn:schemas-microsoft-com:office:smarttags" w:element="City">
        <w:smartTag w:uri="urn:schemas-microsoft-com:office:smarttags" w:element="place">
          <w:r w:rsidRPr="00DA4C3A">
            <w:rPr>
              <w:rFonts w:cs="Calibri"/>
              <w:u w:val="single"/>
            </w:rPr>
            <w:t>Franca</w:t>
          </w:r>
        </w:smartTag>
      </w:smartTag>
      <w:r w:rsidRPr="00DA4C3A">
        <w:rPr>
          <w:rFonts w:cs="Calibri"/>
          <w:u w:val="single"/>
        </w:rPr>
        <w:t xml:space="preserve"> Jones</w:t>
      </w:r>
      <w:r w:rsidRPr="00F848A2">
        <w:rPr>
          <w:rFonts w:cs="Calibri"/>
        </w:rPr>
        <w:t xml:space="preserve"> </w:t>
      </w:r>
      <w:r w:rsidRPr="00DA4C3A">
        <w:rPr>
          <w:rFonts w:cs="Calibri"/>
        </w:rPr>
        <w:t>Senior Policy Analyst, Office of Science and Technology Policy</w:t>
      </w:r>
    </w:p>
    <w:p w:rsidR="00CC4DBD" w:rsidRPr="00DA4C3A" w:rsidRDefault="00CC4DBD" w:rsidP="00766A10">
      <w:pPr>
        <w:spacing w:after="120"/>
        <w:rPr>
          <w:rFonts w:cs="Calibri"/>
          <w:u w:val="single"/>
        </w:rPr>
      </w:pPr>
      <w:r w:rsidRPr="00DA4C3A">
        <w:rPr>
          <w:rFonts w:cs="Calibri"/>
          <w:u w:val="single"/>
        </w:rPr>
        <w:t>Peter Jutro</w:t>
      </w:r>
      <w:r w:rsidRPr="00A3199A">
        <w:rPr>
          <w:rFonts w:cs="Calibri"/>
        </w:rPr>
        <w:t xml:space="preserve"> </w:t>
      </w:r>
      <w:r w:rsidRPr="00DA4C3A">
        <w:rPr>
          <w:rFonts w:cs="Calibri"/>
          <w:color w:val="000000"/>
        </w:rPr>
        <w:t xml:space="preserve">Deputy Director for Science and Policy of EPA’s </w:t>
      </w:r>
      <w:smartTag w:uri="urn:schemas-microsoft-com:office:smarttags" w:element="place">
        <w:smartTag w:uri="urn:schemas-microsoft-com:office:smarttags" w:element="PlaceName">
          <w:r w:rsidRPr="00DA4C3A">
            <w:rPr>
              <w:rFonts w:cs="Calibri"/>
              <w:color w:val="000000"/>
            </w:rPr>
            <w:t>National</w:t>
          </w:r>
        </w:smartTag>
        <w:r w:rsidRPr="00DA4C3A">
          <w:rPr>
            <w:rFonts w:cs="Calibri"/>
            <w:color w:val="000000"/>
          </w:rPr>
          <w:t xml:space="preserve"> </w:t>
        </w:r>
        <w:smartTag w:uri="urn:schemas-microsoft-com:office:smarttags" w:element="PlaceName">
          <w:r w:rsidRPr="00DA4C3A">
            <w:rPr>
              <w:rFonts w:cs="Calibri"/>
              <w:color w:val="000000"/>
            </w:rPr>
            <w:t>Homeland</w:t>
          </w:r>
        </w:smartTag>
        <w:r w:rsidRPr="00DA4C3A">
          <w:rPr>
            <w:rFonts w:cs="Calibri"/>
            <w:color w:val="000000"/>
          </w:rPr>
          <w:t xml:space="preserve"> </w:t>
        </w:r>
        <w:smartTag w:uri="urn:schemas-microsoft-com:office:smarttags" w:element="PlaceName">
          <w:r w:rsidRPr="00DA4C3A">
            <w:rPr>
              <w:rFonts w:cs="Calibri"/>
              <w:color w:val="000000"/>
            </w:rPr>
            <w:t>Security</w:t>
          </w:r>
        </w:smartTag>
        <w:r w:rsidRPr="00DA4C3A">
          <w:rPr>
            <w:rFonts w:cs="Calibri"/>
            <w:color w:val="000000"/>
          </w:rPr>
          <w:t xml:space="preserve"> </w:t>
        </w:r>
        <w:smartTag w:uri="urn:schemas-microsoft-com:office:smarttags" w:element="PlaceName">
          <w:r w:rsidRPr="00DA4C3A">
            <w:rPr>
              <w:rFonts w:cs="Calibri"/>
              <w:color w:val="000000"/>
            </w:rPr>
            <w:t>Research</w:t>
          </w:r>
        </w:smartTag>
        <w:r w:rsidRPr="00DA4C3A">
          <w:rPr>
            <w:rFonts w:cs="Calibri"/>
            <w:color w:val="000000"/>
          </w:rPr>
          <w:t xml:space="preserve"> </w:t>
        </w:r>
        <w:smartTag w:uri="urn:schemas-microsoft-com:office:smarttags" w:element="PlaceType">
          <w:r w:rsidRPr="00DA4C3A">
            <w:rPr>
              <w:rFonts w:cs="Calibri"/>
              <w:color w:val="000000"/>
            </w:rPr>
            <w:t>Center</w:t>
          </w:r>
        </w:smartTag>
      </w:smartTag>
    </w:p>
    <w:p w:rsidR="00CC4DBD" w:rsidRPr="00DA4C3A" w:rsidRDefault="00CC4DBD" w:rsidP="00303586">
      <w:pPr>
        <w:spacing w:after="120"/>
        <w:rPr>
          <w:rFonts w:cs="Calibri"/>
        </w:rPr>
      </w:pPr>
      <w:r w:rsidRPr="00DA4C3A">
        <w:rPr>
          <w:rFonts w:cs="Calibri"/>
          <w:u w:val="single"/>
        </w:rPr>
        <w:t>Ellen Kennedy</w:t>
      </w:r>
      <w:r>
        <w:rPr>
          <w:rFonts w:cs="Calibri"/>
          <w:u w:val="single"/>
        </w:rPr>
        <w:t xml:space="preserve"> </w:t>
      </w:r>
      <w:r w:rsidRPr="00DA4C3A">
        <w:rPr>
          <w:rFonts w:cs="Calibri"/>
        </w:rPr>
        <w:t xml:space="preserve"> </w:t>
      </w:r>
      <w:r w:rsidRPr="00DA4C3A">
        <w:rPr>
          <w:rFonts w:eastAsia="MS Mincho" w:cs="Calibri"/>
        </w:rPr>
        <w:t>Senior Social Research Analyst with Calvert Group, Ltd.</w:t>
      </w:r>
    </w:p>
    <w:p w:rsidR="00CC4DBD" w:rsidRPr="006160CB" w:rsidRDefault="00CC4DBD" w:rsidP="00303586">
      <w:pPr>
        <w:spacing w:after="120"/>
        <w:ind w:right="44"/>
        <w:rPr>
          <w:rFonts w:eastAsia="MS PGothic" w:cs="Calibri"/>
        </w:rPr>
      </w:pPr>
      <w:r w:rsidRPr="00DA4C3A">
        <w:rPr>
          <w:rFonts w:cs="Calibri"/>
          <w:u w:val="single"/>
        </w:rPr>
        <w:t>Todd Kuik</w:t>
      </w:r>
      <w:r>
        <w:rPr>
          <w:rFonts w:cs="Calibri"/>
          <w:u w:val="single"/>
        </w:rPr>
        <w:t>e</w:t>
      </w:r>
      <w:r w:rsidRPr="00DA4C3A">
        <w:rPr>
          <w:rFonts w:cs="Calibri"/>
          <w:u w:val="single"/>
        </w:rPr>
        <w:t>n</w:t>
      </w:r>
      <w:r w:rsidRPr="00F848A2">
        <w:rPr>
          <w:rFonts w:cs="Calibri"/>
        </w:rPr>
        <w:t xml:space="preserve"> </w:t>
      </w:r>
      <w:r w:rsidRPr="00E50045">
        <w:rPr>
          <w:rFonts w:eastAsia="MS PGothic" w:cs="Calibri"/>
        </w:rPr>
        <w:t>Emerging Science &amp; Policy Analyst</w:t>
      </w:r>
      <w:r>
        <w:rPr>
          <w:rFonts w:eastAsia="MS PGothic" w:cs="Calibri"/>
        </w:rPr>
        <w:t>, Science/</w:t>
      </w:r>
      <w:r w:rsidRPr="00E50045">
        <w:rPr>
          <w:rFonts w:eastAsia="MS PGothic" w:cs="Calibri"/>
        </w:rPr>
        <w:t>Technology Innovation Prog</w:t>
      </w:r>
      <w:r>
        <w:rPr>
          <w:rFonts w:eastAsia="MS PGothic" w:cs="Calibri"/>
        </w:rPr>
        <w:t>.</w:t>
      </w:r>
      <w:r w:rsidRPr="00E50045">
        <w:rPr>
          <w:rFonts w:eastAsia="MS PGothic" w:cs="Calibri"/>
        </w:rPr>
        <w:t xml:space="preserve">, </w:t>
      </w:r>
      <w:smartTag w:uri="urn:schemas-microsoft-com:office:smarttags" w:element="place">
        <w:smartTag w:uri="urn:schemas-microsoft-com:office:smarttags" w:element="PlaceName">
          <w:r w:rsidRPr="00E50045">
            <w:rPr>
              <w:rFonts w:eastAsia="MS PGothic" w:cs="Calibri"/>
            </w:rPr>
            <w:t>Wilson</w:t>
          </w:r>
        </w:smartTag>
        <w:r w:rsidRPr="00E50045">
          <w:rPr>
            <w:rFonts w:eastAsia="MS PGothic" w:cs="Calibri"/>
          </w:rPr>
          <w:t xml:space="preserve"> </w:t>
        </w:r>
        <w:smartTag w:uri="urn:schemas-microsoft-com:office:smarttags" w:element="PlaceName">
          <w:r w:rsidRPr="00E50045">
            <w:rPr>
              <w:rFonts w:eastAsia="MS PGothic" w:cs="Calibri"/>
            </w:rPr>
            <w:t>Center</w:t>
          </w:r>
        </w:smartTag>
      </w:smartTag>
      <w:r w:rsidRPr="00E50045">
        <w:rPr>
          <w:rFonts w:eastAsia="MS PGothic" w:cs="Calibri"/>
        </w:rPr>
        <w:t xml:space="preserve"> </w:t>
      </w:r>
    </w:p>
    <w:p w:rsidR="00CC4DBD" w:rsidRPr="00DA4C3A" w:rsidRDefault="00CC4DBD" w:rsidP="00303586">
      <w:pPr>
        <w:spacing w:after="120"/>
        <w:ind w:right="44"/>
        <w:rPr>
          <w:rFonts w:eastAsia="MS PGothic" w:cs="Calibri"/>
        </w:rPr>
      </w:pPr>
      <w:r w:rsidRPr="00DA4C3A">
        <w:rPr>
          <w:rFonts w:eastAsia="MS PGothic" w:cs="Calibri"/>
          <w:u w:val="single"/>
        </w:rPr>
        <w:t>Allen Lin</w:t>
      </w:r>
      <w:r>
        <w:rPr>
          <w:rFonts w:eastAsia="MS PGothic" w:cs="Calibri"/>
        </w:rPr>
        <w:t xml:space="preserve"> B</w:t>
      </w:r>
      <w:r w:rsidRPr="00DA4C3A">
        <w:rPr>
          <w:rFonts w:eastAsia="MS PGothic" w:cs="Calibri"/>
        </w:rPr>
        <w:t>iological eng/EECS/political science student with work in Smolke and Weiss labs</w:t>
      </w:r>
    </w:p>
    <w:p w:rsidR="00CC4DBD" w:rsidRPr="00A3199A" w:rsidRDefault="00CC4DBD" w:rsidP="00303586">
      <w:pPr>
        <w:spacing w:after="120"/>
        <w:ind w:right="44"/>
        <w:rPr>
          <w:rFonts w:eastAsia="MS Mincho" w:cs="Calibri"/>
        </w:rPr>
      </w:pPr>
      <w:r w:rsidRPr="00DA4C3A">
        <w:rPr>
          <w:rFonts w:eastAsia="MS PGothic" w:cs="Calibri"/>
          <w:u w:val="single"/>
        </w:rPr>
        <w:t>Anne-Marie Mazza</w:t>
      </w:r>
      <w:r w:rsidRPr="00F848A2">
        <w:rPr>
          <w:rFonts w:eastAsia="MS PGothic" w:cs="Calibri"/>
        </w:rPr>
        <w:t xml:space="preserve"> </w:t>
      </w:r>
      <w:r w:rsidRPr="00A3199A">
        <w:rPr>
          <w:rFonts w:eastAsia="MS Mincho" w:cs="Calibri"/>
        </w:rPr>
        <w:t>Director, Committee on Science Technology and Law</w:t>
      </w:r>
      <w:r>
        <w:rPr>
          <w:rFonts w:eastAsia="MS Mincho" w:cs="Calibri"/>
        </w:rPr>
        <w:t xml:space="preserve">, </w:t>
      </w:r>
      <w:smartTag w:uri="urn:schemas-microsoft-com:office:smarttags" w:element="place">
        <w:smartTag w:uri="urn:schemas-microsoft-com:office:smarttags" w:element="PlaceName">
          <w:r w:rsidRPr="00A3199A">
            <w:rPr>
              <w:rFonts w:eastAsia="MS Mincho" w:cs="Calibri"/>
            </w:rPr>
            <w:t>National</w:t>
          </w:r>
        </w:smartTag>
        <w:r w:rsidRPr="00A3199A">
          <w:rPr>
            <w:rFonts w:eastAsia="MS Mincho" w:cs="Calibri"/>
          </w:rPr>
          <w:t xml:space="preserve"> </w:t>
        </w:r>
        <w:smartTag w:uri="urn:schemas-microsoft-com:office:smarttags" w:element="PlaceType">
          <w:r w:rsidRPr="00A3199A">
            <w:rPr>
              <w:rFonts w:eastAsia="MS Mincho" w:cs="Calibri"/>
            </w:rPr>
            <w:t>Academy</w:t>
          </w:r>
        </w:smartTag>
      </w:smartTag>
      <w:r w:rsidRPr="00A3199A">
        <w:rPr>
          <w:rFonts w:eastAsia="MS Mincho" w:cs="Calibri"/>
        </w:rPr>
        <w:t xml:space="preserve"> of Sciences</w:t>
      </w:r>
    </w:p>
    <w:p w:rsidR="00CC4DBD" w:rsidRPr="00DA4C3A" w:rsidRDefault="00CC4DBD" w:rsidP="00303586">
      <w:pPr>
        <w:spacing w:after="120"/>
        <w:ind w:right="44"/>
        <w:rPr>
          <w:rFonts w:eastAsia="MS PGothic" w:cs="Calibri"/>
        </w:rPr>
      </w:pPr>
      <w:smartTag w:uri="urn:schemas-microsoft-com:office:smarttags" w:element="place">
        <w:smartTag w:uri="urn:schemas-microsoft-com:office:smarttags" w:element="City">
          <w:r w:rsidRPr="00DA4C3A">
            <w:rPr>
              <w:rFonts w:eastAsia="MS PGothic" w:cs="Calibri"/>
              <w:u w:val="single"/>
            </w:rPr>
            <w:t>Lawrence</w:t>
          </w:r>
        </w:smartTag>
      </w:smartTag>
      <w:r w:rsidRPr="00DA4C3A">
        <w:rPr>
          <w:rFonts w:eastAsia="MS PGothic" w:cs="Calibri"/>
          <w:u w:val="single"/>
        </w:rPr>
        <w:t xml:space="preserve"> McCray</w:t>
      </w:r>
      <w:r w:rsidRPr="00DA4C3A">
        <w:rPr>
          <w:rFonts w:eastAsia="MS PGothic" w:cs="Calibri"/>
        </w:rPr>
        <w:t xml:space="preserve"> Director MIT Knowledge Assessment Project, prior work EPA, White House, and NRC </w:t>
      </w:r>
    </w:p>
    <w:p w:rsidR="00CC4DBD" w:rsidRPr="00DA4C3A" w:rsidRDefault="00CC4DBD" w:rsidP="00303586">
      <w:pPr>
        <w:spacing w:after="120"/>
        <w:ind w:right="44"/>
        <w:rPr>
          <w:rFonts w:cs="Calibri"/>
        </w:rPr>
      </w:pPr>
      <w:r w:rsidRPr="00DA4C3A">
        <w:rPr>
          <w:rFonts w:cs="Calibri"/>
          <w:u w:val="single"/>
        </w:rPr>
        <w:t>Scott C. Mohr</w:t>
      </w:r>
      <w:r w:rsidRPr="00DA4C3A">
        <w:rPr>
          <w:rFonts w:cs="Calibri"/>
        </w:rPr>
        <w:t xml:space="preserve"> </w:t>
      </w:r>
      <w:r>
        <w:rPr>
          <w:rFonts w:cs="Calibri"/>
        </w:rPr>
        <w:t xml:space="preserve">Director of Graduate Studies, </w:t>
      </w:r>
      <w:smartTag w:uri="urn:schemas-microsoft-com:office:smarttags" w:element="place">
        <w:smartTag w:uri="urn:schemas-microsoft-com:office:smarttags" w:element="PlaceName">
          <w:r w:rsidRPr="00DA4C3A">
            <w:rPr>
              <w:rFonts w:cs="Calibri"/>
            </w:rPr>
            <w:t>Boston</w:t>
          </w:r>
        </w:smartTag>
        <w:r w:rsidRPr="00DA4C3A">
          <w:rPr>
            <w:rFonts w:cs="Calibri"/>
          </w:rPr>
          <w:t xml:space="preserve"> </w:t>
        </w:r>
        <w:smartTag w:uri="urn:schemas-microsoft-com:office:smarttags" w:element="PlaceType">
          <w:r w:rsidRPr="00DA4C3A">
            <w:rPr>
              <w:rFonts w:cs="Calibri"/>
            </w:rPr>
            <w:t>University</w:t>
          </w:r>
        </w:smartTag>
      </w:smartTag>
      <w:r>
        <w:rPr>
          <w:rFonts w:cs="Calibri"/>
        </w:rPr>
        <w:t xml:space="preserve">, </w:t>
      </w:r>
      <w:r w:rsidRPr="00DA4C3A">
        <w:rPr>
          <w:rFonts w:cs="Calibri"/>
        </w:rPr>
        <w:t>research on bioinformatics</w:t>
      </w:r>
      <w:r>
        <w:rPr>
          <w:rFonts w:cs="Calibri"/>
        </w:rPr>
        <w:t xml:space="preserve">, </w:t>
      </w:r>
      <w:r w:rsidRPr="00DA4C3A">
        <w:rPr>
          <w:rFonts w:cs="Calibri"/>
        </w:rPr>
        <w:t xml:space="preserve"> biosecurity</w:t>
      </w:r>
    </w:p>
    <w:p w:rsidR="00CC4DBD" w:rsidRPr="00303586" w:rsidRDefault="00CC4DBD" w:rsidP="00303586">
      <w:pPr>
        <w:spacing w:after="120"/>
        <w:ind w:right="44"/>
        <w:rPr>
          <w:rFonts w:cs="Calibri"/>
        </w:rPr>
      </w:pPr>
      <w:r w:rsidRPr="00303586">
        <w:rPr>
          <w:rFonts w:cs="Calibri"/>
          <w:u w:val="single"/>
        </w:rPr>
        <w:t>Granger Morgan (*unconfirmed)</w:t>
      </w:r>
      <w:r w:rsidRPr="00303586">
        <w:rPr>
          <w:rFonts w:cs="Calibri"/>
        </w:rPr>
        <w:t xml:space="preserve"> </w:t>
      </w:r>
      <w:smartTag w:uri="urn:schemas-microsoft-com:office:smarttags" w:element="place">
        <w:smartTag w:uri="urn:schemas-microsoft-com:office:smarttags" w:element="PlaceName">
          <w:r w:rsidRPr="00303586">
            <w:rPr>
              <w:rFonts w:cs="Calibri"/>
            </w:rPr>
            <w:t>Carnegie</w:t>
          </w:r>
        </w:smartTag>
        <w:r w:rsidRPr="00303586">
          <w:rPr>
            <w:rFonts w:cs="Calibri"/>
          </w:rPr>
          <w:t xml:space="preserve"> </w:t>
        </w:r>
        <w:smartTag w:uri="urn:schemas-microsoft-com:office:smarttags" w:element="PlaceName">
          <w:r w:rsidRPr="00303586">
            <w:rPr>
              <w:rFonts w:cs="Calibri"/>
            </w:rPr>
            <w:t>Mellon</w:t>
          </w:r>
        </w:smartTag>
        <w:r w:rsidRPr="00303586">
          <w:rPr>
            <w:rFonts w:cs="Calibri"/>
          </w:rPr>
          <w:t xml:space="preserve"> </w:t>
        </w:r>
        <w:smartTag w:uri="urn:schemas-microsoft-com:office:smarttags" w:element="PlaceType">
          <w:r w:rsidRPr="00303586">
            <w:rPr>
              <w:rFonts w:cs="Calibri"/>
            </w:rPr>
            <w:t>University</w:t>
          </w:r>
        </w:smartTag>
      </w:smartTag>
      <w:r w:rsidRPr="00303586">
        <w:rPr>
          <w:rFonts w:cs="Calibri"/>
        </w:rPr>
        <w:t xml:space="preserve"> and International Risk Governance Council </w:t>
      </w:r>
    </w:p>
    <w:p w:rsidR="00CC4DBD" w:rsidRDefault="00CC4DBD" w:rsidP="00303586">
      <w:pPr>
        <w:spacing w:after="120"/>
        <w:ind w:right="44"/>
        <w:rPr>
          <w:rFonts w:cs="Calibri"/>
        </w:rPr>
      </w:pPr>
      <w:r w:rsidRPr="00DA4C3A">
        <w:rPr>
          <w:rFonts w:cs="Calibri"/>
          <w:u w:val="single"/>
        </w:rPr>
        <w:t>Gautam Mukunda</w:t>
      </w:r>
      <w:r w:rsidRPr="00DA4C3A">
        <w:rPr>
          <w:rFonts w:cs="Calibri"/>
        </w:rPr>
        <w:t xml:space="preserve"> CEO of Lumin, PhD Political Science MIT, with extensive publications in synbio policy</w:t>
      </w:r>
    </w:p>
    <w:p w:rsidR="00CC4DBD" w:rsidRPr="00766A10" w:rsidRDefault="00CC4DBD" w:rsidP="00303586">
      <w:pPr>
        <w:spacing w:after="120"/>
        <w:ind w:right="44"/>
        <w:rPr>
          <w:rFonts w:cs="Calibri"/>
        </w:rPr>
      </w:pPr>
      <w:r w:rsidRPr="00766A10">
        <w:rPr>
          <w:rFonts w:cs="Arial"/>
          <w:u w:val="single"/>
        </w:rPr>
        <w:t>Nirupam Dev Nath</w:t>
      </w:r>
      <w:r w:rsidRPr="00766A10">
        <w:rPr>
          <w:rFonts w:cs="Arial"/>
        </w:rPr>
        <w:t xml:space="preserve">, Second </w:t>
      </w:r>
      <w:smartTag w:uri="urn:schemas-microsoft-com:office:smarttags" w:element="City">
        <w:smartTag w:uri="urn:schemas-microsoft-com:office:smarttags" w:element="place">
          <w:r w:rsidRPr="00766A10">
            <w:rPr>
              <w:rFonts w:cs="Arial"/>
            </w:rPr>
            <w:t>Secretary</w:t>
          </w:r>
        </w:smartTag>
        <w:r w:rsidRPr="00766A10">
          <w:rPr>
            <w:rFonts w:cs="Arial"/>
          </w:rPr>
          <w:t xml:space="preserve">, </w:t>
        </w:r>
        <w:smartTag w:uri="urn:schemas-microsoft-com:office:smarttags" w:element="place">
          <w:r w:rsidRPr="00766A10">
            <w:rPr>
              <w:rFonts w:cs="Tahoma"/>
              <w:color w:val="000000"/>
            </w:rPr>
            <w:t>Bangladesh</w:t>
          </w:r>
        </w:smartTag>
      </w:smartTag>
      <w:r w:rsidRPr="00766A10">
        <w:rPr>
          <w:rFonts w:cs="Tahoma"/>
          <w:color w:val="000000"/>
        </w:rPr>
        <w:t xml:space="preserve"> Embassy</w:t>
      </w:r>
    </w:p>
    <w:p w:rsidR="00CC4DBD" w:rsidRPr="00DA4C3A" w:rsidRDefault="00CC4DBD" w:rsidP="00303586">
      <w:pPr>
        <w:pStyle w:val="NormalWeb"/>
        <w:spacing w:before="0" w:beforeAutospacing="0" w:after="120" w:afterAutospacing="0"/>
        <w:ind w:right="44"/>
        <w:jc w:val="both"/>
        <w:rPr>
          <w:rFonts w:ascii="Calibri" w:hAnsi="Calibri" w:cs="Calibri"/>
          <w:sz w:val="22"/>
          <w:szCs w:val="22"/>
        </w:rPr>
      </w:pPr>
      <w:r w:rsidRPr="00DA4C3A">
        <w:rPr>
          <w:rStyle w:val="Strong"/>
          <w:rFonts w:ascii="Calibri" w:hAnsi="Calibri" w:cs="Calibri"/>
          <w:b w:val="0"/>
          <w:bCs w:val="0"/>
          <w:sz w:val="22"/>
          <w:szCs w:val="22"/>
          <w:u w:val="single"/>
        </w:rPr>
        <w:t>Rebecca Ochoa</w:t>
      </w:r>
      <w:r w:rsidRPr="00DA4C3A">
        <w:rPr>
          <w:rStyle w:val="Strong"/>
          <w:rFonts w:ascii="Calibri" w:hAnsi="Calibri" w:cs="Calibri"/>
          <w:b w:val="0"/>
          <w:bCs w:val="0"/>
          <w:sz w:val="22"/>
          <w:szCs w:val="22"/>
        </w:rPr>
        <w:t xml:space="preserve"> </w:t>
      </w:r>
      <w:r>
        <w:rPr>
          <w:rFonts w:ascii="Calibri" w:hAnsi="Calibri" w:cs="Calibri"/>
          <w:sz w:val="22"/>
          <w:szCs w:val="22"/>
        </w:rPr>
        <w:t>P</w:t>
      </w:r>
      <w:r w:rsidRPr="00DA4C3A">
        <w:rPr>
          <w:rFonts w:ascii="Calibri" w:hAnsi="Calibri" w:cs="Calibri"/>
          <w:sz w:val="22"/>
          <w:szCs w:val="22"/>
        </w:rPr>
        <w:t>rogram coordinator and administrator for Synthetic Biology Policy group</w:t>
      </w:r>
    </w:p>
    <w:p w:rsidR="00CC4DBD" w:rsidRPr="00DA4C3A" w:rsidRDefault="00CC4DBD" w:rsidP="00303586">
      <w:pPr>
        <w:spacing w:after="120"/>
        <w:ind w:right="44"/>
        <w:rPr>
          <w:rFonts w:cs="Calibri"/>
        </w:rPr>
      </w:pPr>
      <w:r w:rsidRPr="00DA4C3A">
        <w:rPr>
          <w:rFonts w:cs="Calibri"/>
          <w:u w:val="single"/>
        </w:rPr>
        <w:t>Kenneth A. Oye</w:t>
      </w:r>
      <w:r w:rsidRPr="00DA4C3A">
        <w:rPr>
          <w:rFonts w:cs="Calibri"/>
        </w:rPr>
        <w:t xml:space="preserve"> Director PoET, Assoc Prof Political Science &amp; Engineering Systems, SynBERC faculty PI</w:t>
      </w:r>
    </w:p>
    <w:p w:rsidR="00CC4DBD" w:rsidRPr="00500CBF" w:rsidRDefault="00CC4DBD" w:rsidP="00303586">
      <w:pPr>
        <w:spacing w:after="120"/>
        <w:ind w:right="44"/>
        <w:rPr>
          <w:u w:val="single"/>
        </w:rPr>
      </w:pPr>
      <w:r w:rsidRPr="00DA4C3A">
        <w:rPr>
          <w:rFonts w:cs="Calibri"/>
          <w:u w:val="single"/>
        </w:rPr>
        <w:t>Allen Pearson</w:t>
      </w:r>
      <w:r w:rsidRPr="00DA4C3A">
        <w:rPr>
          <w:rFonts w:cs="Calibri"/>
        </w:rPr>
        <w:t xml:space="preserve"> </w:t>
      </w:r>
      <w:r w:rsidRPr="00DA4C3A">
        <w:rPr>
          <w:rFonts w:eastAsia="MS PGothic" w:cs="Calibri"/>
          <w:bCs/>
        </w:rPr>
        <w:t>Biotechnology Regulatory Services for the USDA</w:t>
      </w:r>
      <w:r w:rsidRPr="00500CBF">
        <w:rPr>
          <w:rFonts w:eastAsia="MS PGothic" w:cs="Calibri"/>
          <w:bCs/>
        </w:rPr>
        <w:t>-APHIS</w:t>
      </w:r>
    </w:p>
    <w:p w:rsidR="00CC4DBD" w:rsidRDefault="00CC4DBD" w:rsidP="00303586">
      <w:pPr>
        <w:spacing w:after="120"/>
        <w:ind w:right="44"/>
        <w:rPr>
          <w:rStyle w:val="major"/>
          <w:rFonts w:cs="Calibri"/>
        </w:rPr>
      </w:pPr>
      <w:r w:rsidRPr="005143E9">
        <w:rPr>
          <w:u w:val="single"/>
        </w:rPr>
        <w:t>David Rejeski</w:t>
      </w:r>
      <w:r w:rsidRPr="00C17ED6">
        <w:t xml:space="preserve"> </w:t>
      </w:r>
      <w:r w:rsidRPr="00E50045">
        <w:rPr>
          <w:rStyle w:val="major"/>
          <w:rFonts w:cs="Calibri"/>
        </w:rPr>
        <w:t xml:space="preserve">Director, Science and Technology Innovation Program, </w:t>
      </w:r>
      <w:smartTag w:uri="urn:schemas-microsoft-com:office:smarttags" w:element="place">
        <w:smartTag w:uri="urn:schemas-microsoft-com:office:smarttags" w:element="place">
          <w:r w:rsidRPr="00E50045">
            <w:rPr>
              <w:rStyle w:val="major"/>
              <w:rFonts w:cs="Calibri"/>
            </w:rPr>
            <w:t>Woodrow</w:t>
          </w:r>
        </w:smartTag>
        <w:r w:rsidRPr="00E50045">
          <w:rPr>
            <w:rStyle w:val="major"/>
            <w:rFonts w:cs="Calibri"/>
          </w:rPr>
          <w:t xml:space="preserve"> </w:t>
        </w:r>
        <w:smartTag w:uri="urn:schemas-microsoft-com:office:smarttags" w:element="place">
          <w:r w:rsidRPr="00E50045">
            <w:rPr>
              <w:rStyle w:val="major"/>
              <w:rFonts w:cs="Calibri"/>
            </w:rPr>
            <w:t>Wilson</w:t>
          </w:r>
        </w:smartTag>
        <w:r w:rsidRPr="00E50045">
          <w:rPr>
            <w:rStyle w:val="major"/>
            <w:rFonts w:cs="Calibri"/>
          </w:rPr>
          <w:t xml:space="preserve"> </w:t>
        </w:r>
        <w:smartTag w:uri="urn:schemas-microsoft-com:office:smarttags" w:element="place">
          <w:r w:rsidRPr="00E50045">
            <w:rPr>
              <w:rStyle w:val="major"/>
              <w:rFonts w:cs="Calibri"/>
            </w:rPr>
            <w:t>Center</w:t>
          </w:r>
        </w:smartTag>
      </w:smartTag>
    </w:p>
    <w:p w:rsidR="00CC4DBD" w:rsidRPr="006160CB" w:rsidRDefault="00CC4DBD" w:rsidP="00303586">
      <w:pPr>
        <w:spacing w:after="120"/>
        <w:ind w:right="44"/>
        <w:rPr>
          <w:rStyle w:val="major"/>
          <w:rFonts w:cs="Calibri"/>
        </w:rPr>
      </w:pPr>
      <w:r w:rsidRPr="00E50045">
        <w:rPr>
          <w:rStyle w:val="major"/>
          <w:rFonts w:cs="Calibri"/>
          <w:u w:val="single"/>
        </w:rPr>
        <w:t>Kevin Reynolds</w:t>
      </w:r>
      <w:r>
        <w:rPr>
          <w:rStyle w:val="major"/>
          <w:rFonts w:cs="Calibri"/>
        </w:rPr>
        <w:t xml:space="preserve"> </w:t>
      </w:r>
      <w:r w:rsidRPr="00E50045">
        <w:rPr>
          <w:rStyle w:val="major"/>
        </w:rPr>
        <w:t>NRDAR and Spill Response Coordinator</w:t>
      </w:r>
      <w:r w:rsidRPr="00E50045">
        <w:rPr>
          <w:rStyle w:val="major"/>
          <w:rFonts w:cs="Calibri"/>
        </w:rPr>
        <w:t xml:space="preserve">, </w:t>
      </w:r>
      <w:smartTag w:uri="urn:schemas-microsoft-com:office:smarttags" w:element="place">
        <w:r w:rsidRPr="00E50045">
          <w:rPr>
            <w:rStyle w:val="major"/>
          </w:rPr>
          <w:t>U.S.</w:t>
        </w:r>
      </w:smartTag>
      <w:r w:rsidRPr="00E50045">
        <w:rPr>
          <w:rStyle w:val="major"/>
        </w:rPr>
        <w:t xml:space="preserve"> Fish and Wildlife Service </w:t>
      </w:r>
    </w:p>
    <w:p w:rsidR="00CC4DBD" w:rsidRPr="00500CBF" w:rsidRDefault="00CC4DBD" w:rsidP="00303586">
      <w:pPr>
        <w:spacing w:after="120"/>
        <w:ind w:right="44"/>
        <w:rPr>
          <w:u w:val="single"/>
        </w:rPr>
      </w:pPr>
      <w:r w:rsidRPr="00500CBF">
        <w:rPr>
          <w:u w:val="single"/>
        </w:rPr>
        <w:t>Jessica Tucker</w:t>
      </w:r>
      <w:r w:rsidRPr="00F848A2">
        <w:t xml:space="preserve"> </w:t>
      </w:r>
      <w:r>
        <w:t xml:space="preserve">Senior Policy Analyst, </w:t>
      </w:r>
      <w:r w:rsidRPr="00500CBF">
        <w:rPr>
          <w:rStyle w:val="major"/>
          <w:rFonts w:cs="Calibri"/>
        </w:rPr>
        <w:t>Office of the Assistant Secretary for Preparedness and Response</w:t>
      </w:r>
    </w:p>
    <w:p w:rsidR="00CC4DBD" w:rsidRPr="00500CBF" w:rsidRDefault="00CC4DBD" w:rsidP="00303586">
      <w:pPr>
        <w:spacing w:after="120"/>
        <w:ind w:right="44"/>
        <w:rPr>
          <w:u w:val="single"/>
        </w:rPr>
      </w:pPr>
      <w:r w:rsidRPr="00500CBF">
        <w:rPr>
          <w:u w:val="single"/>
        </w:rPr>
        <w:t>Peter Yeadon</w:t>
      </w:r>
      <w:r w:rsidRPr="00500CBF">
        <w:rPr>
          <w:rFonts w:eastAsia="MS Mincho" w:cs="Calibri"/>
        </w:rPr>
        <w:t xml:space="preserve"> Partner at Decker Yeadon LLC, Associate Professor at the </w:t>
      </w:r>
      <w:smartTag w:uri="urn:schemas-microsoft-com:office:smarttags" w:element="place">
        <w:smartTag w:uri="urn:schemas-microsoft-com:office:smarttags" w:element="place">
          <w:r w:rsidRPr="00500CBF">
            <w:rPr>
              <w:rFonts w:eastAsia="MS Mincho" w:cs="Calibri"/>
            </w:rPr>
            <w:t>Rhode Island</w:t>
          </w:r>
        </w:smartTag>
        <w:r w:rsidRPr="00500CBF">
          <w:rPr>
            <w:rFonts w:eastAsia="MS Mincho" w:cs="Calibri"/>
          </w:rPr>
          <w:t xml:space="preserve"> </w:t>
        </w:r>
        <w:smartTag w:uri="urn:schemas-microsoft-com:office:smarttags" w:element="place">
          <w:r w:rsidRPr="00500CBF">
            <w:rPr>
              <w:rFonts w:eastAsia="MS Mincho" w:cs="Calibri"/>
            </w:rPr>
            <w:t>School</w:t>
          </w:r>
        </w:smartTag>
      </w:smartTag>
      <w:r w:rsidRPr="00500CBF">
        <w:rPr>
          <w:rFonts w:eastAsia="MS Mincho" w:cs="Calibri"/>
        </w:rPr>
        <w:t xml:space="preserve"> of Design</w:t>
      </w:r>
    </w:p>
    <w:p w:rsidR="00CC4DBD" w:rsidRDefault="00CC4DBD" w:rsidP="00C17ED6">
      <w:pPr>
        <w:ind w:right="44"/>
        <w:rPr>
          <w:u w:val="single"/>
        </w:rPr>
      </w:pPr>
    </w:p>
    <w:p w:rsidR="00CC4DBD" w:rsidRDefault="00CC4DBD" w:rsidP="00C17ED6">
      <w:pPr>
        <w:ind w:right="44"/>
        <w:rPr>
          <w:u w:val="single"/>
        </w:rPr>
      </w:pPr>
    </w:p>
    <w:p w:rsidR="00CC4DBD" w:rsidRPr="00C17ED6" w:rsidRDefault="00CC4DBD" w:rsidP="00C17ED6">
      <w:pPr>
        <w:pStyle w:val="spip"/>
        <w:spacing w:before="0" w:beforeAutospacing="0" w:after="0" w:afterAutospacing="0"/>
        <w:ind w:right="44"/>
        <w:jc w:val="both"/>
        <w:rPr>
          <w:rFonts w:ascii="Calibri" w:hAnsi="Calibri"/>
          <w:sz w:val="22"/>
          <w:szCs w:val="22"/>
        </w:rPr>
      </w:pPr>
    </w:p>
    <w:p w:rsidR="00CC4DBD" w:rsidRPr="00E4015E" w:rsidRDefault="00CC4DBD" w:rsidP="00E4015E">
      <w:pPr>
        <w:rPr>
          <w:i/>
          <w:iCs/>
        </w:rPr>
      </w:pPr>
    </w:p>
    <w:p w:rsidR="00CC4DBD" w:rsidRDefault="00CC4DBD" w:rsidP="000401C0">
      <w:pPr>
        <w:jc w:val="center"/>
        <w:rPr>
          <w:b/>
          <w:bCs/>
          <w:u w:val="single"/>
        </w:rPr>
      </w:pPr>
      <w:r>
        <w:rPr>
          <w:rFonts w:eastAsia="MS PGothic"/>
          <w:sz w:val="20"/>
          <w:szCs w:val="20"/>
        </w:rPr>
        <w:br w:type="page"/>
      </w:r>
      <w:r>
        <w:rPr>
          <w:b/>
          <w:bCs/>
          <w:u w:val="single"/>
        </w:rPr>
        <w:t>SECTION 1:  AGENDA AND EXECUTIVE SUMMARY</w:t>
      </w:r>
    </w:p>
    <w:p w:rsidR="00CC4DBD" w:rsidRDefault="00CC4DBD" w:rsidP="00717754">
      <w:pPr>
        <w:jc w:val="both"/>
        <w:rPr>
          <w:b/>
          <w:bCs/>
          <w:u w:val="single"/>
        </w:rPr>
      </w:pPr>
    </w:p>
    <w:p w:rsidR="00CC4DBD" w:rsidRPr="00C1256B" w:rsidRDefault="00CC4DBD" w:rsidP="004D24E4">
      <w:pPr>
        <w:jc w:val="center"/>
        <w:rPr>
          <w:b/>
          <w:bCs/>
          <w:sz w:val="6"/>
          <w:szCs w:val="6"/>
          <w:u w:val="single"/>
        </w:rPr>
      </w:pPr>
    </w:p>
    <w:p w:rsidR="00CC4DBD" w:rsidRPr="004D24E4" w:rsidRDefault="00CC4DBD" w:rsidP="004D24E4">
      <w:pPr>
        <w:jc w:val="center"/>
        <w:rPr>
          <w:color w:val="000000"/>
        </w:rPr>
      </w:pPr>
      <w:r w:rsidRPr="004D24E4">
        <w:rPr>
          <w:color w:val="000000"/>
        </w:rPr>
        <w:t>B</w:t>
      </w:r>
      <w:r>
        <w:rPr>
          <w:color w:val="000000"/>
        </w:rPr>
        <w:t>EYOND CONTAINMENT</w:t>
      </w:r>
    </w:p>
    <w:p w:rsidR="00CC4DBD" w:rsidRPr="004D24E4" w:rsidRDefault="00CC4DBD" w:rsidP="004D24E4">
      <w:pPr>
        <w:jc w:val="center"/>
        <w:rPr>
          <w:color w:val="000000"/>
        </w:rPr>
      </w:pPr>
      <w:r w:rsidRPr="004D24E4">
        <w:rPr>
          <w:color w:val="000000"/>
        </w:rPr>
        <w:t>A</w:t>
      </w:r>
      <w:r>
        <w:rPr>
          <w:color w:val="000000"/>
        </w:rPr>
        <w:t>SSESSING, TESTING AND DEMONSTRATING SAFETY ON RELEASE OF SYNBIO DEVICES AND CHASSIS</w:t>
      </w:r>
    </w:p>
    <w:p w:rsidR="00CC4DBD" w:rsidRPr="004D24E4" w:rsidRDefault="00CC4DBD" w:rsidP="004D24E4">
      <w:pPr>
        <w:jc w:val="center"/>
        <w:rPr>
          <w:color w:val="000000"/>
        </w:rPr>
      </w:pPr>
      <w:r w:rsidRPr="004D24E4">
        <w:rPr>
          <w:bCs/>
          <w:color w:val="000000"/>
        </w:rPr>
        <w:t xml:space="preserve">NSF SynBERC / MIT Program on Emerging Technologies / </w:t>
      </w:r>
      <w:smartTag w:uri="urn:schemas-microsoft-com:office:smarttags" w:element="place">
        <w:smartTag w:uri="urn:schemas-microsoft-com:office:smarttags" w:element="place">
          <w:r>
            <w:rPr>
              <w:bCs/>
              <w:color w:val="000000"/>
            </w:rPr>
            <w:t>Woodrow</w:t>
          </w:r>
        </w:smartTag>
        <w:r>
          <w:rPr>
            <w:bCs/>
            <w:color w:val="000000"/>
          </w:rPr>
          <w:t xml:space="preserve"> </w:t>
        </w:r>
        <w:smartTag w:uri="urn:schemas-microsoft-com:office:smarttags" w:element="place">
          <w:r>
            <w:rPr>
              <w:bCs/>
              <w:color w:val="000000"/>
            </w:rPr>
            <w:t>Wilson</w:t>
          </w:r>
        </w:smartTag>
        <w:r>
          <w:rPr>
            <w:bCs/>
            <w:color w:val="000000"/>
          </w:rPr>
          <w:t xml:space="preserve"> </w:t>
        </w:r>
        <w:smartTag w:uri="urn:schemas-microsoft-com:office:smarttags" w:element="place">
          <w:r>
            <w:rPr>
              <w:bCs/>
              <w:color w:val="000000"/>
            </w:rPr>
            <w:t>Center</w:t>
          </w:r>
        </w:smartTag>
      </w:smartTag>
    </w:p>
    <w:p w:rsidR="00CC4DBD" w:rsidRDefault="00CC4DBD" w:rsidP="00717754">
      <w:pPr>
        <w:jc w:val="both"/>
        <w:rPr>
          <w:u w:val="single"/>
        </w:rPr>
      </w:pPr>
    </w:p>
    <w:p w:rsidR="00CC4DBD" w:rsidRPr="00532599" w:rsidRDefault="00CC4DBD" w:rsidP="00B20FC7">
      <w:pPr>
        <w:rPr>
          <w:u w:val="single"/>
        </w:rPr>
      </w:pPr>
      <w:r w:rsidRPr="00532599">
        <w:rPr>
          <w:u w:val="single"/>
        </w:rPr>
        <w:t>Welcome</w:t>
      </w:r>
      <w:r>
        <w:rPr>
          <w:u w:val="single"/>
        </w:rPr>
        <w:t xml:space="preserve"> and </w:t>
      </w:r>
      <w:r w:rsidRPr="00532599">
        <w:rPr>
          <w:u w:val="single"/>
        </w:rPr>
        <w:t>Overview</w:t>
      </w:r>
      <w:r>
        <w:rPr>
          <w:u w:val="single"/>
        </w:rPr>
        <w:t xml:space="preserve">    </w:t>
      </w:r>
      <w:smartTag w:uri="urn:schemas-microsoft-com:office:smarttags" w:element="place">
        <w:smartTag w:uri="urn:schemas-microsoft-com:office:smarttags" w:element="place">
          <w:r>
            <w:rPr>
              <w:u w:val="single"/>
            </w:rPr>
            <w:t>David</w:t>
          </w:r>
        </w:smartTag>
        <w:r>
          <w:rPr>
            <w:u w:val="single"/>
          </w:rPr>
          <w:t xml:space="preserve"> </w:t>
        </w:r>
        <w:smartTag w:uri="urn:schemas-microsoft-com:office:smarttags" w:element="place">
          <w:r>
            <w:rPr>
              <w:u w:val="single"/>
            </w:rPr>
            <w:t>Rejeski</w:t>
          </w:r>
        </w:smartTag>
        <w:r>
          <w:rPr>
            <w:u w:val="single"/>
          </w:rPr>
          <w:t xml:space="preserve"> </w:t>
        </w:r>
        <w:smartTag w:uri="urn:schemas-microsoft-com:office:smarttags" w:element="place">
          <w:r>
            <w:rPr>
              <w:u w:val="single"/>
            </w:rPr>
            <w:t>Wilson</w:t>
          </w:r>
        </w:smartTag>
        <w:r>
          <w:rPr>
            <w:u w:val="single"/>
          </w:rPr>
          <w:t xml:space="preserve"> </w:t>
        </w:r>
        <w:smartTag w:uri="urn:schemas-microsoft-com:office:smarttags" w:element="place">
          <w:r>
            <w:rPr>
              <w:u w:val="single"/>
            </w:rPr>
            <w:t>Center</w:t>
          </w:r>
        </w:smartTag>
      </w:smartTag>
      <w:r>
        <w:rPr>
          <w:u w:val="single"/>
        </w:rPr>
        <w:t xml:space="preserve"> &amp; Kenneth Oye NSF SynBERC /  MIT          9:00-9:15</w:t>
      </w:r>
    </w:p>
    <w:p w:rsidR="00CC4DBD" w:rsidRPr="006535D7" w:rsidRDefault="00CC4DBD" w:rsidP="00B20FC7">
      <w:pPr>
        <w:rPr>
          <w:sz w:val="6"/>
          <w:szCs w:val="6"/>
          <w:u w:val="single"/>
        </w:rPr>
      </w:pPr>
    </w:p>
    <w:p w:rsidR="00CC4DBD" w:rsidRPr="004F5564" w:rsidRDefault="00CC4DBD" w:rsidP="00B20FC7">
      <w:pPr>
        <w:rPr>
          <w:u w:val="single"/>
        </w:rPr>
      </w:pPr>
      <w:r>
        <w:rPr>
          <w:u w:val="single"/>
        </w:rPr>
        <w:t xml:space="preserve">Session I:  Accidental release of biological device – </w:t>
      </w:r>
      <w:r w:rsidRPr="004F5564">
        <w:rPr>
          <w:u w:val="single"/>
        </w:rPr>
        <w:t xml:space="preserve">Lumin </w:t>
      </w:r>
      <w:r>
        <w:rPr>
          <w:u w:val="single"/>
        </w:rPr>
        <w:t>biosensor example</w:t>
      </w:r>
      <w:r>
        <w:rPr>
          <w:u w:val="single"/>
        </w:rPr>
        <w:tab/>
      </w:r>
      <w:r>
        <w:rPr>
          <w:u w:val="single"/>
        </w:rPr>
        <w:tab/>
        <w:t xml:space="preserve">           9:15-11:10</w:t>
      </w:r>
    </w:p>
    <w:p w:rsidR="00CC4DBD" w:rsidRDefault="00CC4DBD" w:rsidP="00B20FC7">
      <w:r>
        <w:t xml:space="preserve">Questions:  What risks are associated with this early application of synthetic biology?  How might risks be tested, reduced through redesign?  How might the biosensor fare under existing regulatory regimes? </w:t>
      </w:r>
    </w:p>
    <w:p w:rsidR="00CC4DBD" w:rsidRDefault="00CC4DBD" w:rsidP="00B20FC7">
      <w:pPr>
        <w:pStyle w:val="ListParagraph"/>
        <w:numPr>
          <w:ilvl w:val="0"/>
          <w:numId w:val="25"/>
          <w:numberingChange w:id="9" w:author="Unknown" w:date="2011-01-12T15:27:00Z" w:original=""/>
        </w:numPr>
      </w:pPr>
      <w:r>
        <w:t>Briefing on Lumin device – pathway, chassis, physical device, methods of use – Gautam Mukunda</w:t>
      </w:r>
    </w:p>
    <w:p w:rsidR="00CC4DBD" w:rsidRDefault="00CC4DBD" w:rsidP="00B20FC7">
      <w:pPr>
        <w:pStyle w:val="ListParagraph"/>
        <w:numPr>
          <w:ilvl w:val="0"/>
          <w:numId w:val="25"/>
          <w:numberingChange w:id="10" w:author="Unknown" w:date="2011-01-12T15:27:00Z" w:original=""/>
        </w:numPr>
      </w:pPr>
      <w:r>
        <w:t>Briefing on conventional and life cycle methods of risk assessment – Genya Dana</w:t>
      </w:r>
    </w:p>
    <w:p w:rsidR="00CC4DBD" w:rsidRDefault="00CC4DBD" w:rsidP="00B20FC7">
      <w:pPr>
        <w:pStyle w:val="ListParagraph"/>
        <w:numPr>
          <w:ilvl w:val="0"/>
          <w:numId w:val="25"/>
          <w:numberingChange w:id="11" w:author="Unknown" w:date="2011-01-12T15:27:00Z" w:original=""/>
        </w:numPr>
      </w:pPr>
      <w:r>
        <w:t>Critical presentation on MIT exercise on risks associated with Lumin device with JM 109 and rE.coli chassis / design of tests and demonstrations to address areas of uncertainty / redesign of device to mitigate risks</w:t>
      </w:r>
    </w:p>
    <w:p w:rsidR="00CC4DBD" w:rsidRDefault="00CC4DBD" w:rsidP="00B20FC7">
      <w:pPr>
        <w:pStyle w:val="ListParagraph"/>
        <w:numPr>
          <w:ilvl w:val="0"/>
          <w:numId w:val="25"/>
          <w:numberingChange w:id="12" w:author="Unknown" w:date="2011-01-12T15:27:00Z" w:original=""/>
        </w:numPr>
      </w:pPr>
      <w:r>
        <w:t>Assessment of existing regulatory standards and insurance standards using Lumin device / discussion of fit between standards and benefits and risks of this application</w:t>
      </w:r>
    </w:p>
    <w:p w:rsidR="00CC4DBD" w:rsidRDefault="00CC4DBD" w:rsidP="00B20FC7">
      <w:pPr>
        <w:pStyle w:val="ListParagraph"/>
        <w:numPr>
          <w:ilvl w:val="0"/>
          <w:numId w:val="25"/>
          <w:numberingChange w:id="13" w:author="Unknown" w:date="2011-01-12T15:27:00Z" w:original=""/>
        </w:numPr>
      </w:pPr>
      <w:r>
        <w:t>Assessment of public perceptions of risks and benefits associated with Lumin device</w:t>
      </w:r>
    </w:p>
    <w:p w:rsidR="00CC4DBD" w:rsidRPr="00634FAE" w:rsidRDefault="00CC4DBD" w:rsidP="00B20FC7">
      <w:pPr>
        <w:rPr>
          <w:sz w:val="6"/>
          <w:szCs w:val="6"/>
          <w:u w:val="single"/>
        </w:rPr>
      </w:pPr>
    </w:p>
    <w:p w:rsidR="00CC4DBD" w:rsidRPr="00E22B51" w:rsidRDefault="00CC4DBD" w:rsidP="00B20FC7">
      <w:r w:rsidRPr="00E22B51">
        <w:rPr>
          <w:u w:val="single"/>
        </w:rPr>
        <w:t xml:space="preserve">Session </w:t>
      </w:r>
      <w:r>
        <w:rPr>
          <w:u w:val="single"/>
        </w:rPr>
        <w:t xml:space="preserve">II:  Chassis design to mitigate risks on release -- </w:t>
      </w:r>
      <w:r w:rsidRPr="00E22B51">
        <w:rPr>
          <w:u w:val="single"/>
        </w:rPr>
        <w:t>r</w:t>
      </w:r>
      <w:r>
        <w:rPr>
          <w:u w:val="single"/>
        </w:rPr>
        <w:t xml:space="preserve">E.coli example </w:t>
      </w:r>
      <w:r>
        <w:rPr>
          <w:u w:val="single"/>
        </w:rPr>
        <w:tab/>
      </w:r>
      <w:r>
        <w:rPr>
          <w:u w:val="single"/>
        </w:rPr>
        <w:tab/>
        <w:t>11:20</w:t>
      </w:r>
      <w:r w:rsidRPr="00E22B51">
        <w:rPr>
          <w:u w:val="single"/>
        </w:rPr>
        <w:t>-12:15/13:15-14:15</w:t>
      </w:r>
    </w:p>
    <w:p w:rsidR="00CC4DBD" w:rsidRDefault="00CC4DBD" w:rsidP="00B20FC7">
      <w:r>
        <w:t xml:space="preserve">Questions: To what extent can risks be assessed and safety improved through design of chassis without specification of pathways?   With what implications for regulatory standards and costs of compliance? </w:t>
      </w:r>
    </w:p>
    <w:p w:rsidR="00CC4DBD" w:rsidRDefault="00CC4DBD" w:rsidP="00B20FC7">
      <w:pPr>
        <w:pStyle w:val="ListParagraph"/>
        <w:numPr>
          <w:ilvl w:val="0"/>
          <w:numId w:val="25"/>
          <w:numberingChange w:id="14" w:author="Unknown" w:date="2011-01-12T15:27:00Z" w:original=""/>
        </w:numPr>
      </w:pPr>
      <w:r>
        <w:t>Briefing on chassis functions,  safe design, status of rE.coli  – Peter Carr and George Church</w:t>
      </w:r>
    </w:p>
    <w:p w:rsidR="00CC4DBD" w:rsidRDefault="00CC4DBD" w:rsidP="00B20FC7">
      <w:pPr>
        <w:pStyle w:val="ListParagraph"/>
        <w:numPr>
          <w:ilvl w:val="0"/>
          <w:numId w:val="25"/>
          <w:numberingChange w:id="15" w:author="Unknown" w:date="2011-01-12T15:27:00Z" w:original=""/>
        </w:numPr>
      </w:pPr>
      <w:r>
        <w:t>Assessment of risks associated with chassis designs as distinct from device designs / design of tests and demonstrations to address areas of uncertainty / redesign of chassis to mitigate risks</w:t>
      </w:r>
    </w:p>
    <w:p w:rsidR="00CC4DBD" w:rsidRDefault="00CC4DBD" w:rsidP="00B20FC7">
      <w:pPr>
        <w:pStyle w:val="ListParagraph"/>
        <w:numPr>
          <w:ilvl w:val="0"/>
          <w:numId w:val="25"/>
          <w:numberingChange w:id="16" w:author="Unknown" w:date="2011-01-12T15:27:00Z" w:original=""/>
        </w:numPr>
      </w:pPr>
      <w:r>
        <w:t>Assessment of existing regulatory standards and insurance standards using rE.coli chassis / discussion of fit between standards and this application.   Does the novelty of chassis design that enhances safety also increase the regulatory hurdles that must be cleared?</w:t>
      </w:r>
    </w:p>
    <w:p w:rsidR="00CC4DBD" w:rsidRDefault="00CC4DBD" w:rsidP="00B20FC7">
      <w:pPr>
        <w:pStyle w:val="ListParagraph"/>
        <w:numPr>
          <w:ilvl w:val="0"/>
          <w:numId w:val="25"/>
          <w:numberingChange w:id="17" w:author="Unknown" w:date="2011-01-12T15:27:00Z" w:original=""/>
        </w:numPr>
      </w:pPr>
      <w:r>
        <w:t xml:space="preserve">Assessment of public perceptions of chassis risks, with reference to E.coli as object of discourse.  </w:t>
      </w:r>
    </w:p>
    <w:p w:rsidR="00CC4DBD" w:rsidRPr="00634FAE" w:rsidRDefault="00CC4DBD" w:rsidP="00B20FC7">
      <w:pPr>
        <w:rPr>
          <w:sz w:val="6"/>
          <w:szCs w:val="6"/>
        </w:rPr>
      </w:pPr>
    </w:p>
    <w:p w:rsidR="00CC4DBD" w:rsidRPr="004F5564" w:rsidRDefault="00CC4DBD" w:rsidP="00B20FC7">
      <w:pPr>
        <w:rPr>
          <w:u w:val="single"/>
        </w:rPr>
      </w:pPr>
      <w:r>
        <w:rPr>
          <w:u w:val="single"/>
        </w:rPr>
        <w:t xml:space="preserve">Session III:  Tagging </w:t>
      </w:r>
      <w:r w:rsidRPr="004F5564">
        <w:rPr>
          <w:u w:val="single"/>
        </w:rPr>
        <w:t xml:space="preserve">sources of uncertainty and </w:t>
      </w:r>
      <w:r>
        <w:rPr>
          <w:u w:val="single"/>
        </w:rPr>
        <w:t xml:space="preserve">discussing </w:t>
      </w:r>
      <w:r w:rsidRPr="004F5564">
        <w:rPr>
          <w:u w:val="single"/>
        </w:rPr>
        <w:t xml:space="preserve">next stage research </w:t>
      </w:r>
      <w:r>
        <w:rPr>
          <w:u w:val="single"/>
        </w:rPr>
        <w:t xml:space="preserve"> </w:t>
      </w:r>
      <w:r>
        <w:rPr>
          <w:u w:val="single"/>
        </w:rPr>
        <w:tab/>
        <w:t xml:space="preserve">      </w:t>
      </w:r>
      <w:r>
        <w:rPr>
          <w:u w:val="single"/>
        </w:rPr>
        <w:softHyphen/>
        <w:t xml:space="preserve">__            14:30-15:30 </w:t>
      </w:r>
    </w:p>
    <w:p w:rsidR="00CC4DBD" w:rsidRDefault="00CC4DBD" w:rsidP="00B20FC7">
      <w:r>
        <w:t>Questions:  Of issues not resolved in morning sessions, which disagreements on assessments of risks, design of tests, and redesign of devices are rooted in questions of values?  Which disagreements are grounded in uncertainty over specific empirical issues?    How might these issues be addressed?</w:t>
      </w:r>
    </w:p>
    <w:p w:rsidR="00CC4DBD" w:rsidRDefault="00CC4DBD" w:rsidP="00B20FC7">
      <w:pPr>
        <w:pStyle w:val="ListParagraph"/>
        <w:numPr>
          <w:ilvl w:val="0"/>
          <w:numId w:val="25"/>
          <w:numberingChange w:id="18" w:author="Unknown" w:date="2011-01-12T15:27:00Z" w:original=""/>
        </w:numPr>
      </w:pPr>
      <w:r>
        <w:t>Questions to and from environmental microbiologists and risk analysts?</w:t>
      </w:r>
    </w:p>
    <w:p w:rsidR="00CC4DBD" w:rsidRDefault="00CC4DBD" w:rsidP="00B20FC7">
      <w:pPr>
        <w:pStyle w:val="ListParagraph"/>
        <w:numPr>
          <w:ilvl w:val="0"/>
          <w:numId w:val="25"/>
          <w:numberingChange w:id="19" w:author="Unknown" w:date="2011-01-12T15:27:00Z" w:original=""/>
        </w:numPr>
      </w:pPr>
      <w:r>
        <w:t>Questions to and from synthetic biologists?</w:t>
      </w:r>
    </w:p>
    <w:p w:rsidR="00CC4DBD" w:rsidRDefault="00CC4DBD" w:rsidP="00B20FC7">
      <w:pPr>
        <w:pStyle w:val="ListParagraph"/>
        <w:numPr>
          <w:ilvl w:val="0"/>
          <w:numId w:val="25"/>
          <w:numberingChange w:id="20" w:author="Unknown" w:date="2011-01-12T15:27:00Z" w:original=""/>
        </w:numPr>
      </w:pPr>
      <w:r>
        <w:t>Questions to and from regulators and insurers?</w:t>
      </w:r>
    </w:p>
    <w:p w:rsidR="00CC4DBD" w:rsidRDefault="00CC4DBD" w:rsidP="00B20FC7">
      <w:pPr>
        <w:pStyle w:val="ListParagraph"/>
        <w:numPr>
          <w:ilvl w:val="0"/>
          <w:numId w:val="25"/>
          <w:numberingChange w:id="21" w:author="Unknown" w:date="2011-01-12T15:27:00Z" w:original=""/>
        </w:numPr>
      </w:pPr>
      <w:r>
        <w:t>Questions to and from civil society?</w:t>
      </w:r>
    </w:p>
    <w:p w:rsidR="00CC4DBD" w:rsidRPr="00634FAE" w:rsidRDefault="00CC4DBD" w:rsidP="00B20FC7">
      <w:pPr>
        <w:rPr>
          <w:sz w:val="6"/>
          <w:szCs w:val="6"/>
        </w:rPr>
      </w:pPr>
    </w:p>
    <w:p w:rsidR="00CC4DBD" w:rsidRPr="00E22B51" w:rsidRDefault="00CC4DBD" w:rsidP="00B20FC7">
      <w:r w:rsidRPr="00E22B51">
        <w:rPr>
          <w:u w:val="single"/>
        </w:rPr>
        <w:t xml:space="preserve">Session IV:  </w:t>
      </w:r>
      <w:r>
        <w:rPr>
          <w:u w:val="single"/>
        </w:rPr>
        <w:t>Scoping b</w:t>
      </w:r>
      <w:r w:rsidRPr="00E22B51">
        <w:rPr>
          <w:u w:val="single"/>
        </w:rPr>
        <w:t>i</w:t>
      </w:r>
      <w:r>
        <w:rPr>
          <w:u w:val="single"/>
        </w:rPr>
        <w:t xml:space="preserve">oremediation and </w:t>
      </w:r>
      <w:r w:rsidRPr="00E22B51">
        <w:rPr>
          <w:u w:val="single"/>
        </w:rPr>
        <w:t>delibera</w:t>
      </w:r>
      <w:r>
        <w:rPr>
          <w:u w:val="single"/>
        </w:rPr>
        <w:t xml:space="preserve">te release – atrazine / petroleum examples   </w:t>
      </w:r>
      <w:r w:rsidRPr="00E22B51">
        <w:rPr>
          <w:u w:val="single"/>
        </w:rPr>
        <w:t>15:45-17:00</w:t>
      </w:r>
    </w:p>
    <w:p w:rsidR="00CC4DBD" w:rsidRDefault="00CC4DBD" w:rsidP="00B20FC7">
      <w:r w:rsidRPr="00CB54C9">
        <w:t>Questions</w:t>
      </w:r>
      <w:r w:rsidRPr="004F5564">
        <w:t>:</w:t>
      </w:r>
      <w:r>
        <w:t xml:space="preserve">  How do risks associated with bioremediation differ from accidental release issues found with the biosensor? W</w:t>
      </w:r>
      <w:r w:rsidRPr="004F5564">
        <w:t xml:space="preserve">hat is </w:t>
      </w:r>
      <w:r>
        <w:t xml:space="preserve">the current status of natural and GM bioremediation?  How are risks currently assessed and regulated? What sort of an exercise using what microbes as objects might be useful?  </w:t>
      </w:r>
    </w:p>
    <w:p w:rsidR="00CC4DBD" w:rsidRPr="004F5564" w:rsidRDefault="00CC4DBD" w:rsidP="00B20FC7">
      <w:pPr>
        <w:pStyle w:val="ListParagraph"/>
        <w:numPr>
          <w:ilvl w:val="0"/>
          <w:numId w:val="25"/>
          <w:numberingChange w:id="22" w:author="Unknown" w:date="2011-01-12T15:27:00Z" w:original=""/>
        </w:numPr>
      </w:pPr>
      <w:r>
        <w:t>Memos on bioremediation of atrazine (Allen Lin) and petroleum (Scott Mohr)</w:t>
      </w:r>
    </w:p>
    <w:p w:rsidR="00CC4DBD" w:rsidRDefault="00CC4DBD" w:rsidP="00B20FC7">
      <w:pPr>
        <w:pStyle w:val="ListParagraph"/>
        <w:numPr>
          <w:ilvl w:val="0"/>
          <w:numId w:val="25"/>
          <w:numberingChange w:id="23" w:author="Unknown" w:date="2011-01-12T15:27:00Z" w:original=""/>
        </w:numPr>
      </w:pPr>
      <w:r>
        <w:t>Natural and artificial objects of remediation / wild type and GM organisms for remediation</w:t>
      </w:r>
    </w:p>
    <w:p w:rsidR="00CC4DBD" w:rsidRDefault="00CC4DBD" w:rsidP="00B20FC7">
      <w:pPr>
        <w:pStyle w:val="ListParagraph"/>
        <w:numPr>
          <w:ilvl w:val="0"/>
          <w:numId w:val="25"/>
          <w:numberingChange w:id="24" w:author="Unknown" w:date="2011-01-12T15:27:00Z" w:original=""/>
        </w:numPr>
      </w:pPr>
      <w:r>
        <w:t xml:space="preserve">Scoping exercise on current GM bugs and status of current risk assessment and testing methods </w:t>
      </w:r>
    </w:p>
    <w:p w:rsidR="00CC4DBD" w:rsidRDefault="00CC4DBD" w:rsidP="00B20FC7">
      <w:pPr>
        <w:pStyle w:val="ListParagraph"/>
        <w:numPr>
          <w:ilvl w:val="0"/>
          <w:numId w:val="25"/>
          <w:numberingChange w:id="25" w:author="Unknown" w:date="2011-01-12T15:27:00Z" w:original=""/>
        </w:numPr>
      </w:pPr>
      <w:r>
        <w:t xml:space="preserve">Scoping exercise on current standards for GM and non-GM bioremediation </w:t>
      </w:r>
    </w:p>
    <w:p w:rsidR="00CC4DBD" w:rsidRDefault="00CC4DBD" w:rsidP="00B20FC7"/>
    <w:p w:rsidR="00CC4DBD" w:rsidRDefault="00CC4DBD" w:rsidP="004D24E4">
      <w:pPr>
        <w:rPr>
          <w:u w:val="single"/>
        </w:rPr>
      </w:pPr>
      <w:r w:rsidRPr="00E22B51">
        <w:rPr>
          <w:u w:val="single"/>
        </w:rPr>
        <w:t xml:space="preserve">Optional Dinner for Participants </w:t>
      </w:r>
      <w:r>
        <w:rPr>
          <w:u w:val="single"/>
        </w:rPr>
        <w:t xml:space="preserve">                                                                                                            18</w:t>
      </w:r>
      <w:r w:rsidRPr="00E22B51">
        <w:rPr>
          <w:u w:val="single"/>
        </w:rPr>
        <w:t>:</w:t>
      </w:r>
      <w:r>
        <w:rPr>
          <w:u w:val="single"/>
        </w:rPr>
        <w:t>0</w:t>
      </w:r>
      <w:r w:rsidRPr="00E22B51">
        <w:rPr>
          <w:u w:val="single"/>
        </w:rPr>
        <w:t>0</w:t>
      </w:r>
      <w:r>
        <w:rPr>
          <w:u w:val="single"/>
        </w:rPr>
        <w:t>-20:00</w:t>
      </w:r>
    </w:p>
    <w:p w:rsidR="00CC4DBD" w:rsidRDefault="00CC4DBD" w:rsidP="004D24E4">
      <w:pPr>
        <w:jc w:val="both"/>
        <w:rPr>
          <w:b/>
          <w:bCs/>
          <w:u w:val="single"/>
        </w:rPr>
      </w:pPr>
    </w:p>
    <w:p w:rsidR="00CC4DBD" w:rsidRPr="00634FAE" w:rsidRDefault="00CC4DBD" w:rsidP="004D24E4">
      <w:pPr>
        <w:jc w:val="both"/>
      </w:pPr>
      <w:r>
        <w:rPr>
          <w:b/>
          <w:u w:val="single"/>
        </w:rPr>
        <w:t xml:space="preserve">Project </w:t>
      </w:r>
      <w:r w:rsidRPr="008C3FF5">
        <w:rPr>
          <w:b/>
          <w:u w:val="single"/>
        </w:rPr>
        <w:t>Context:</w:t>
      </w:r>
      <w:r>
        <w:rPr>
          <w:b/>
        </w:rPr>
        <w:t xml:space="preserve">  </w:t>
      </w:r>
      <w:r w:rsidRPr="00373C2A">
        <w:t>With accelerating technical change, a proactive rather than reactive stance on risk governance is needed.  This project is developing methods to address potential risks before r</w:t>
      </w:r>
      <w:r>
        <w:t xml:space="preserve">ather than after the fact. </w:t>
      </w:r>
      <w:r w:rsidRPr="00373C2A">
        <w:t>It focuses on biosafety beyond containment, in cases where accidental release may be reasonably expected and/or where conventional containment is not an option as in bioremediation, agricultural and biomedical applications.</w:t>
      </w:r>
      <w:r>
        <w:t xml:space="preserve">  </w:t>
      </w:r>
      <w:r w:rsidRPr="00373C2A">
        <w:t xml:space="preserve">In </w:t>
      </w:r>
      <w:r>
        <w:t xml:space="preserve">this </w:t>
      </w:r>
      <w:r w:rsidRPr="00373C2A">
        <w:t>2011</w:t>
      </w:r>
      <w:r>
        <w:t xml:space="preserve"> exercise</w:t>
      </w:r>
      <w:r w:rsidRPr="00373C2A">
        <w:t xml:space="preserve">, we </w:t>
      </w:r>
      <w:r>
        <w:t xml:space="preserve">will </w:t>
      </w:r>
      <w:r w:rsidRPr="00373C2A">
        <w:t>focus on a biosensor where brea</w:t>
      </w:r>
      <w:r>
        <w:t xml:space="preserve">ch of containment may be expected and on whether the redesign of biological chassis, without reference to specific pathways, may improve biological safety.  We hope </w:t>
      </w:r>
      <w:r w:rsidRPr="00373C2A">
        <w:t>to consider bioremediation, agricultural and biomedical applications in future years.</w:t>
      </w:r>
      <w:r>
        <w:t xml:space="preserve">  </w:t>
      </w:r>
      <w:r w:rsidRPr="00373C2A">
        <w:t>This work on testing and demonstration for biosafety</w:t>
      </w:r>
      <w:r>
        <w:t xml:space="preserve"> </w:t>
      </w:r>
      <w:r w:rsidRPr="00373C2A">
        <w:t xml:space="preserve">complement technical work on design of safer chassis by </w:t>
      </w:r>
      <w:r>
        <w:t xml:space="preserve">SynBERC </w:t>
      </w:r>
      <w:r w:rsidRPr="00373C2A">
        <w:t>Arkin, Church and Knig</w:t>
      </w:r>
      <w:r>
        <w:t xml:space="preserve">ht labs and the larger rE.coli development team. </w:t>
      </w:r>
    </w:p>
    <w:p w:rsidR="00CC4DBD" w:rsidRDefault="00CC4DBD" w:rsidP="004D24E4">
      <w:pPr>
        <w:jc w:val="both"/>
        <w:rPr>
          <w:b/>
          <w:bCs/>
          <w:u w:val="single"/>
        </w:rPr>
      </w:pPr>
    </w:p>
    <w:p w:rsidR="00CC4DBD" w:rsidRDefault="00CC4DBD" w:rsidP="004D24E4">
      <w:pPr>
        <w:jc w:val="both"/>
      </w:pPr>
      <w:r>
        <w:rPr>
          <w:b/>
          <w:bCs/>
          <w:u w:val="single"/>
        </w:rPr>
        <w:t>Exercise Elements:</w:t>
      </w:r>
      <w:r>
        <w:t xml:space="preserve">  The NSF Synthetic Biology Engineering Research Center (SynBERC), the MIT Program on Emerging Technologies (PoET) and the Woodrow Wilson Center of the Smithsonian  Institution will conduct an eight hour risk governance exercise on January 13, 2011.   This exercise will:</w:t>
      </w:r>
    </w:p>
    <w:p w:rsidR="00CC4DBD" w:rsidRDefault="00CC4DBD" w:rsidP="004D24E4">
      <w:pPr>
        <w:numPr>
          <w:ilvl w:val="0"/>
          <w:numId w:val="24"/>
          <w:numberingChange w:id="26" w:author="Unknown" w:date="2011-01-12T15:27:00Z" w:original="(%1:1:0:)"/>
        </w:numPr>
        <w:jc w:val="both"/>
      </w:pPr>
      <w:r>
        <w:t>Discuss safety and environmental effects of using a synthesized microbe to detect the presence of arsenic in drinking water and discuss associated design, testing, and demonstration issues.</w:t>
      </w:r>
    </w:p>
    <w:p w:rsidR="00CC4DBD" w:rsidRPr="00125B1D" w:rsidRDefault="00CC4DBD" w:rsidP="004D24E4">
      <w:pPr>
        <w:numPr>
          <w:ilvl w:val="0"/>
          <w:numId w:val="24"/>
          <w:numberingChange w:id="27" w:author="Unknown" w:date="2011-01-12T15:27:00Z" w:original="(%1:2:0:)"/>
        </w:numPr>
        <w:jc w:val="both"/>
      </w:pPr>
      <w:r>
        <w:t xml:space="preserve">Discuss safety and environmental effects of replacing conventional industrial E.coli strains with rE.coli redesigned to reduce risks by limiting properties such as horizontal genetic exchange and discuss associated design, testing and demonstration issues. </w:t>
      </w:r>
    </w:p>
    <w:p w:rsidR="00CC4DBD" w:rsidRPr="00E6098A" w:rsidRDefault="00CC4DBD" w:rsidP="004D24E4">
      <w:pPr>
        <w:numPr>
          <w:ilvl w:val="0"/>
          <w:numId w:val="24"/>
          <w:numberingChange w:id="28" w:author="Unknown" w:date="2011-01-12T15:27:00Z" w:original="(%1:3:0:)"/>
        </w:numPr>
        <w:jc w:val="both"/>
        <w:rPr>
          <w:b/>
          <w:bCs/>
          <w:u w:val="single"/>
        </w:rPr>
      </w:pPr>
      <w:r>
        <w:t xml:space="preserve">Flag sources of uncertainty and gaps in knowledge associated with points 1 and 2 and discuss strategies for improving understanding on key points of uncertainty.  </w:t>
      </w:r>
    </w:p>
    <w:p w:rsidR="00CC4DBD" w:rsidRDefault="00CC4DBD" w:rsidP="004D24E4">
      <w:pPr>
        <w:numPr>
          <w:ilvl w:val="0"/>
          <w:numId w:val="24"/>
          <w:numberingChange w:id="29" w:author="Unknown" w:date="2011-01-12T15:27:00Z" w:original="(%1:4:0:)"/>
        </w:numPr>
        <w:jc w:val="both"/>
        <w:rPr>
          <w:b/>
          <w:bCs/>
          <w:u w:val="single"/>
        </w:rPr>
      </w:pPr>
      <w:r>
        <w:t xml:space="preserve">Scope possible future exercises on more challenging and complex applications of synthetic biology, with an initial focus on uncontained bioremediation applications.  </w:t>
      </w:r>
    </w:p>
    <w:p w:rsidR="00CC4DBD" w:rsidRPr="00634FAE" w:rsidRDefault="00CC4DBD" w:rsidP="00717754">
      <w:pPr>
        <w:jc w:val="both"/>
        <w:rPr>
          <w:b/>
          <w:bCs/>
          <w:u w:val="single"/>
        </w:rPr>
      </w:pPr>
      <w:r>
        <w:t xml:space="preserve">This exercise is not designed to produce a consensus document on risks and risk governance. </w:t>
      </w:r>
    </w:p>
    <w:p w:rsidR="00CC4DBD" w:rsidRDefault="00CC4DBD" w:rsidP="00717754">
      <w:pPr>
        <w:jc w:val="both"/>
      </w:pPr>
    </w:p>
    <w:p w:rsidR="00CC4DBD" w:rsidRPr="00276D44" w:rsidRDefault="00CC4DBD" w:rsidP="00634FAE">
      <w:pPr>
        <w:jc w:val="both"/>
        <w:rPr>
          <w:u w:val="single"/>
        </w:rPr>
      </w:pPr>
      <w:r w:rsidRPr="00717754">
        <w:rPr>
          <w:b/>
          <w:u w:val="single"/>
        </w:rPr>
        <w:t>Participants</w:t>
      </w:r>
      <w:r>
        <w:rPr>
          <w:b/>
          <w:u w:val="single"/>
        </w:rPr>
        <w:t xml:space="preserve"> and Non-Attribution</w:t>
      </w:r>
      <w:r w:rsidRPr="00717754">
        <w:rPr>
          <w:b/>
          <w:u w:val="single"/>
        </w:rPr>
        <w:t>:</w:t>
      </w:r>
      <w:r>
        <w:t xml:space="preserve">  We have assembled a group that includes the firm that would introduce the technology, researchers in synthetic biology, risk assessment specialists, US and South Asian regulators and health/safety advocacy groups. To foster candid discussion, the exercise will be held under Chatham House Rules.  Participants will be free to use information received, but neither the identity nor affiliation of those making statements may be revealed.  An anonymized summary of principal elements of discussion will be prepared and distributed.    </w:t>
      </w:r>
    </w:p>
    <w:p w:rsidR="00CC4DBD" w:rsidRDefault="00CC4DBD" w:rsidP="00084593">
      <w:pPr>
        <w:jc w:val="both"/>
        <w:rPr>
          <w:b/>
          <w:bCs/>
          <w:u w:val="single"/>
        </w:rPr>
      </w:pPr>
    </w:p>
    <w:p w:rsidR="00CC4DBD" w:rsidRDefault="00CC4DBD" w:rsidP="00717754">
      <w:pPr>
        <w:jc w:val="both"/>
      </w:pPr>
      <w:r w:rsidRPr="00084593">
        <w:rPr>
          <w:b/>
          <w:bCs/>
          <w:u w:val="single"/>
        </w:rPr>
        <w:t>Expected Outcomes</w:t>
      </w:r>
      <w:r>
        <w:rPr>
          <w:b/>
          <w:bCs/>
          <w:u w:val="single"/>
        </w:rPr>
        <w:t xml:space="preserve"> of Exercise</w:t>
      </w:r>
      <w:r w:rsidRPr="00084593">
        <w:rPr>
          <w:b/>
          <w:bCs/>
          <w:u w:val="single"/>
        </w:rPr>
        <w:t>:</w:t>
      </w:r>
      <w:r>
        <w:rPr>
          <w:b/>
          <w:bCs/>
        </w:rPr>
        <w:t xml:space="preserve">  </w:t>
      </w:r>
      <w:r w:rsidRPr="00A60AA8">
        <w:rPr>
          <w:b/>
          <w:bCs/>
        </w:rPr>
        <w:t xml:space="preserve"> </w:t>
      </w:r>
      <w:r w:rsidRPr="008C3FF5">
        <w:t xml:space="preserve">Identification of </w:t>
      </w:r>
      <w:r>
        <w:t xml:space="preserve">Commonalities and Differences in Views on </w:t>
      </w:r>
      <w:r w:rsidRPr="008C3FF5">
        <w:t xml:space="preserve">Risks and Sources of Uncertainty </w:t>
      </w:r>
      <w:r>
        <w:t xml:space="preserve">Identification </w:t>
      </w:r>
      <w:r w:rsidRPr="008C3FF5">
        <w:t xml:space="preserve">of </w:t>
      </w:r>
      <w:r>
        <w:t>Key Areas of Uncertainty where additional information is needed</w:t>
      </w:r>
    </w:p>
    <w:p w:rsidR="00CC4DBD" w:rsidRDefault="00CC4DBD" w:rsidP="00717754">
      <w:pPr>
        <w:jc w:val="both"/>
      </w:pPr>
      <w:r>
        <w:t>Early stage discussion of standards for testing and demonstrating safety in specific devices and in chassis.</w:t>
      </w:r>
    </w:p>
    <w:p w:rsidR="00CC4DBD" w:rsidRPr="008C3FF5" w:rsidRDefault="00CC4DBD" w:rsidP="00717754">
      <w:pPr>
        <w:jc w:val="both"/>
      </w:pPr>
      <w:r>
        <w:t>Consideration of whether and when to move to reengineered bioremediation examples</w:t>
      </w:r>
    </w:p>
    <w:p w:rsidR="00CC4DBD" w:rsidRDefault="00CC4DBD" w:rsidP="00717754">
      <w:pPr>
        <w:jc w:val="both"/>
      </w:pPr>
    </w:p>
    <w:p w:rsidR="00CC4DBD" w:rsidRDefault="00CC4DBD" w:rsidP="00C1256B">
      <w:pPr>
        <w:jc w:val="both"/>
      </w:pPr>
    </w:p>
    <w:p w:rsidR="00CC4DBD" w:rsidRDefault="00CC4DBD" w:rsidP="00370A88">
      <w:pPr>
        <w:jc w:val="center"/>
      </w:pPr>
      <w:r>
        <w:t>#####  END SECTION 1 #####</w:t>
      </w:r>
    </w:p>
    <w:p w:rsidR="00CC4DBD" w:rsidRDefault="00CC4DBD" w:rsidP="00370A88">
      <w:pPr>
        <w:jc w:val="center"/>
      </w:pPr>
    </w:p>
    <w:p w:rsidR="00CC4DBD" w:rsidRDefault="00CC4DBD" w:rsidP="00370A88">
      <w:pPr>
        <w:jc w:val="center"/>
      </w:pPr>
    </w:p>
    <w:p w:rsidR="00CC4DBD" w:rsidRPr="00491A60" w:rsidRDefault="00CC4DBD" w:rsidP="00B76C6C">
      <w:pPr>
        <w:jc w:val="center"/>
        <w:rPr>
          <w:b/>
        </w:rPr>
      </w:pPr>
      <w:r>
        <w:br w:type="page"/>
      </w:r>
      <w:r>
        <w:rPr>
          <w:b/>
          <w:bCs/>
          <w:u w:val="single"/>
        </w:rPr>
        <w:t>SECTION 2:  LUMIN BIOSENSORS: AN OVERVIEW</w:t>
      </w:r>
    </w:p>
    <w:p w:rsidR="00CC4DBD" w:rsidRDefault="00CC4DBD" w:rsidP="00BE2C8E">
      <w:pPr>
        <w:pStyle w:val="Heading2"/>
      </w:pPr>
      <w:r>
        <w:t>Summary</w:t>
      </w:r>
    </w:p>
    <w:p w:rsidR="00CC4DBD" w:rsidRDefault="00CC4DBD">
      <w:pPr>
        <w:jc w:val="both"/>
      </w:pPr>
      <w:r>
        <w:t xml:space="preserve">Lumin Biosensors was founded in 2009 to develop and commercialize an arsenic biosensor based on the system developed by the University of Edinburgh iGEM team in 2006.  Its founding core team consists of Gautam Mukunda (Chief Executive Officer), Kim de Mora (Chief Scientific Officer), Matthew Owens (Chief Engineering Officer), and Peter Yeadon.  Arsenic contamination of drinking water, particularly in Bangladesh, is a public health problem of enormous scale.  One difficulty in dealing with this contamination is the absence of an inexpensive and accurate test for arsenic levels that can be operated by unskilled labor.  Lumin is currently fully characterizing the </w:t>
      </w:r>
      <w:r>
        <w:rPr>
          <w:i/>
        </w:rPr>
        <w:t>e. coli</w:t>
      </w:r>
      <w:r>
        <w:t xml:space="preserve"> strain developed by the Edinburgh iGEM team and developing a patentable device that can be used with the strain.  Lumin intends to raise funds to complete the characterization and device development and to further modify the </w:t>
      </w:r>
      <w:r>
        <w:rPr>
          <w:i/>
        </w:rPr>
        <w:t>e. coli</w:t>
      </w:r>
      <w:r>
        <w:t xml:space="preserve"> strain if necessary.  It then intends to license the biosensor system to one of the companies that is already in the business of manufacturing and selling conventional arsenic sensing kits to NGOs that operate in Bangladesh.</w:t>
      </w:r>
    </w:p>
    <w:p w:rsidR="00CC4DBD" w:rsidRDefault="00CC4DBD" w:rsidP="00BE2C8E">
      <w:pPr>
        <w:pStyle w:val="Heading2"/>
      </w:pPr>
      <w:r>
        <w:t>The Problem</w:t>
      </w:r>
      <w:r>
        <w:rPr>
          <w:rStyle w:val="FootnoteReference"/>
        </w:rPr>
        <w:footnoteReference w:id="1"/>
      </w:r>
    </w:p>
    <w:p w:rsidR="00CC4DBD" w:rsidRDefault="00CC4DBD">
      <w:pPr>
        <w:jc w:val="both"/>
      </w:pPr>
      <w:r>
        <w:t xml:space="preserve">The contamination of groundwater in Bangladesh by arsenic is the largest poisoning of a population in history.  Unsafe levels of arsenic in drinking water affect between 35 and 77 million residents of Bangladesh alone.  The World Health Organization (WHO) and the United States Environmental Protection Agency set the maximum allowable concentration of arsenic in drinking water at </w:t>
      </w:r>
      <w:r w:rsidRPr="00E34A3E">
        <w:t xml:space="preserve">10 </w:t>
      </w:r>
      <w:r>
        <w:t>ppb.  Bangladesh allows concentrations above 50 ppb.  35% of surveyed wells in Bangladesh have concentrations above 50 ppb and 8.4% have concentrations above 300 ppb.</w:t>
      </w:r>
    </w:p>
    <w:p w:rsidR="00CC4DBD" w:rsidRDefault="00CC4DBD">
      <w:pPr>
        <w:jc w:val="both"/>
      </w:pPr>
      <w:r>
        <w:t>The arsenic poisoning problem is an unfortunate side effect of an effort by the United Nations Children’s Fund (UNICEF) during the 1970s to install tube-wells in Bangladesh to deal with the problem of contamination of surface water by microorganisms.  Water testing procedures at the time did not include tests for arsenic.  Unfortunately in 1993 arsenic contamination was detected in water from the tube wells and this was soon determined to be a pervasive problem throughout virtually all of Bangladesh.</w:t>
      </w:r>
    </w:p>
    <w:p w:rsidR="00CC4DBD" w:rsidRDefault="00CC4DBD" w:rsidP="00945814">
      <w:r>
        <w:t>The long-term effects of chronic arsenic poisoning are severe.  They include skin lesions, skin cancer, cancers of the bladder, kidneys, and lungs, neurological effects, and a variety of other severe health problems.  Although the number of deaths due to arsenic poisoning is uncertain at this time, estimates of the mortality rate of drinking 1 liter of water a day contaminated with arsenic at 50 ppb (a level of exposure far below that expected in Bangladesh) go as high as 13 per 1000 people.  Since as many as 75 million people in Bangladesh alone may currently be exposed to unsafe levels of arsenic, arsenic contamination in groundwater thus presents among the most pressing public health emergencies in the world today.  The first step in any remediation plan must be the identification of contaminated sources of water.  No field test can currently reliably detect arsenic contamination levels at the WHO’s recommended level of 10 ppb.  Field tests exist that can detect arsenic reliably at 50 ppb.  These tests, however, cost $3/test and require using toxic reagents, necessitating a high level of skill on the part of test users.</w:t>
      </w:r>
    </w:p>
    <w:p w:rsidR="00CC4DBD" w:rsidRDefault="00CC4DBD" w:rsidP="00BE2C8E">
      <w:pPr>
        <w:pStyle w:val="Heading2"/>
      </w:pPr>
      <w:r>
        <w:t>Lumin’s Biosensor</w:t>
      </w:r>
    </w:p>
    <w:p w:rsidR="00CC4DBD" w:rsidRDefault="00CC4DBD">
      <w:pPr>
        <w:jc w:val="both"/>
      </w:pPr>
      <w:r>
        <w:t xml:space="preserve">Lumin aims to develop a low-skill required field usable biosensor that can detect arsenic contaminations of 10 ppb.  The proposed device will include a plastic test chamber capped by filter paper and a piston or other system that will generate pressure to force water to be tested through the filter paper.  Several hours after potentially contaminated water has been introduced to the test chamber it should change color to blue if arsenic levels are above 10 ppb.  The test should involve little or no skill on the part of users and should cost no more than $1/test, with costs ideally below 33 cents/test.  Lumin is currently engaged in characterization of the </w:t>
      </w:r>
      <w:r>
        <w:rPr>
          <w:i/>
        </w:rPr>
        <w:t>e. coli</w:t>
      </w:r>
      <w:r>
        <w:t xml:space="preserve"> strain.  It intends to raise funds over the next several months and intends to have a fully operational biosensor ready for licensing by September 2011.  Lumin is also currently developing the device which will encapsulate the strain, filter water to remove potential contaminants, and perform other tasks necessary to the successful completion of a test.  One possible such design is shown below.  It would use a syringe-like device to draw sample water into a testing chamber which would contain the </w:t>
      </w:r>
      <w:r>
        <w:rPr>
          <w:i/>
        </w:rPr>
        <w:t>e. coli</w:t>
      </w:r>
      <w:r>
        <w:t xml:space="preserve"> and its necessary supporting materials.</w:t>
      </w:r>
    </w:p>
    <w:p w:rsidR="00CC4DBD" w:rsidRDefault="00CC4DBD" w:rsidP="00BE2C8E"/>
    <w:p w:rsidR="00CC4DBD" w:rsidRDefault="00CC4DBD" w:rsidP="00BE2C8E">
      <w:r w:rsidRPr="00882C98">
        <w:rPr>
          <w:noProof/>
          <w:lang w:eastAsia="zh-CN"/>
        </w:rPr>
        <w:pict>
          <v:shape id="Picture 5" o:spid="_x0000_i1026" type="#_x0000_t75" alt="00" style="width:468pt;height:351pt;visibility:visible">
            <v:imagedata r:id="rId10" o:title=""/>
          </v:shape>
        </w:pict>
      </w:r>
      <w:r>
        <w:t xml:space="preserve"> </w:t>
      </w:r>
    </w:p>
    <w:p w:rsidR="00CC4DBD" w:rsidRDefault="00CC4DBD" w:rsidP="00BE2C8E">
      <w:pPr>
        <w:pStyle w:val="Heading2"/>
      </w:pPr>
      <w:r w:rsidRPr="00882C98">
        <w:rPr>
          <w:noProof/>
          <w:lang w:eastAsia="zh-CN"/>
        </w:rPr>
        <w:pict>
          <v:shape id="Picture 6" o:spid="_x0000_i1027" type="#_x0000_t75" alt="06" style="width:468pt;height:351pt;visibility:visible">
            <v:imagedata r:id="rId11" o:title=""/>
          </v:shape>
        </w:pict>
      </w:r>
    </w:p>
    <w:p w:rsidR="00CC4DBD" w:rsidRDefault="00CC4DBD" w:rsidP="00BE2C8E">
      <w:pPr>
        <w:pStyle w:val="Heading2"/>
      </w:pPr>
      <w:r>
        <w:t>Major Obstacles</w:t>
      </w:r>
    </w:p>
    <w:p w:rsidR="00CC4DBD" w:rsidRDefault="00CC4DBD" w:rsidP="00BE2C8E">
      <w:r>
        <w:t>Lumin faces a series of obstacles in its attempt to produce a practical arsenic biosensor:</w:t>
      </w:r>
    </w:p>
    <w:p w:rsidR="00CC4DBD" w:rsidRDefault="00CC4DBD" w:rsidP="00BE2C8E">
      <w:pPr>
        <w:pStyle w:val="ListParagraph"/>
        <w:numPr>
          <w:ilvl w:val="0"/>
          <w:numId w:val="13"/>
          <w:numberingChange w:id="30" w:author="Unknown" w:date="2011-01-12T15:27:00Z" w:original="%1:1:0:)"/>
        </w:numPr>
        <w:spacing w:after="200" w:line="480" w:lineRule="auto"/>
      </w:pPr>
      <w:r>
        <w:t xml:space="preserve"> Lumin is currently unfunded, although it has begun to explore potential funding avenues with a variety of major foundations.  </w:t>
      </w:r>
    </w:p>
    <w:p w:rsidR="00CC4DBD" w:rsidRDefault="00CC4DBD" w:rsidP="00BE2C8E">
      <w:pPr>
        <w:pStyle w:val="ListParagraph"/>
        <w:numPr>
          <w:ilvl w:val="0"/>
          <w:numId w:val="13"/>
          <w:numberingChange w:id="31" w:author="Unknown" w:date="2011-01-12T15:27:00Z" w:original="%1:2:0:)"/>
        </w:numPr>
        <w:spacing w:after="200" w:line="480" w:lineRule="auto"/>
      </w:pPr>
      <w:r>
        <w:t>The consistency and threshold level of the current arsenic biosensor</w:t>
      </w:r>
    </w:p>
    <w:p w:rsidR="00CC4DBD" w:rsidRDefault="00CC4DBD" w:rsidP="00BE2C8E">
      <w:pPr>
        <w:pStyle w:val="ListParagraph"/>
        <w:numPr>
          <w:ilvl w:val="0"/>
          <w:numId w:val="13"/>
          <w:numberingChange w:id="32" w:author="Unknown" w:date="2011-01-12T15:27:00Z" w:original="%1:3:0:)"/>
        </w:numPr>
        <w:spacing w:after="200" w:line="480" w:lineRule="auto"/>
      </w:pPr>
      <w:r>
        <w:t>Final design of the sensing chamber and pump system</w:t>
      </w:r>
    </w:p>
    <w:p w:rsidR="00CC4DBD" w:rsidRDefault="00CC4DBD" w:rsidP="00BE2C8E">
      <w:pPr>
        <w:pStyle w:val="ListParagraph"/>
        <w:numPr>
          <w:ilvl w:val="0"/>
          <w:numId w:val="13"/>
          <w:numberingChange w:id="33" w:author="Unknown" w:date="2011-01-12T15:27:00Z" w:original="%1:4:0:)"/>
        </w:numPr>
        <w:spacing w:after="200" w:line="480" w:lineRule="auto"/>
      </w:pPr>
      <w:r>
        <w:t xml:space="preserve">If it will be necessary to re-engineer the </w:t>
      </w:r>
      <w:r>
        <w:rPr>
          <w:i/>
        </w:rPr>
        <w:t>e. coli</w:t>
      </w:r>
      <w:r>
        <w:t xml:space="preserve"> strain and, if it is, the best way to do so</w:t>
      </w:r>
    </w:p>
    <w:p w:rsidR="00CC4DBD" w:rsidRDefault="00CC4DBD" w:rsidP="00BE2C8E">
      <w:pPr>
        <w:pStyle w:val="ListParagraph"/>
        <w:numPr>
          <w:ilvl w:val="0"/>
          <w:numId w:val="13"/>
          <w:numberingChange w:id="34" w:author="Unknown" w:date="2011-01-12T15:27:00Z" w:original="%1:5:0:)"/>
        </w:numPr>
        <w:spacing w:after="200" w:line="480" w:lineRule="auto"/>
      </w:pPr>
      <w:r>
        <w:t>Skills and availability of core management team</w:t>
      </w:r>
    </w:p>
    <w:p w:rsidR="00CC4DBD" w:rsidRDefault="00CC4DBD" w:rsidP="00BE2C8E">
      <w:pPr>
        <w:pStyle w:val="ListParagraph"/>
        <w:numPr>
          <w:ilvl w:val="0"/>
          <w:numId w:val="13"/>
          <w:numberingChange w:id="35" w:author="Unknown" w:date="2011-01-12T15:27:00Z" w:original="%1:6:0:)"/>
        </w:numPr>
        <w:spacing w:after="200" w:line="480" w:lineRule="auto"/>
      </w:pPr>
      <w:r>
        <w:t>Interest of potential licensors in a low-margin testing system with a small potential market</w:t>
      </w:r>
    </w:p>
    <w:p w:rsidR="00CC4DBD" w:rsidRPr="007130C8" w:rsidRDefault="00CC4DBD" w:rsidP="00BE2C8E">
      <w:pPr>
        <w:pStyle w:val="ListParagraph"/>
        <w:numPr>
          <w:ilvl w:val="0"/>
          <w:numId w:val="13"/>
          <w:numberingChange w:id="36" w:author="Unknown" w:date="2011-01-12T15:27:00Z" w:original="%1:7:0:)"/>
        </w:numPr>
        <w:spacing w:after="200" w:line="480" w:lineRule="auto"/>
      </w:pPr>
      <w:r>
        <w:t>Regulatory/safety concerns surrounding usage and potential release of a GMO</w:t>
      </w:r>
    </w:p>
    <w:p w:rsidR="00CC4DBD" w:rsidRDefault="00CC4DBD" w:rsidP="00340D4B">
      <w:pPr>
        <w:pStyle w:val="Heading1"/>
        <w:jc w:val="center"/>
      </w:pPr>
    </w:p>
    <w:p w:rsidR="00CC4DBD" w:rsidRPr="00B00B1A" w:rsidRDefault="00CC4DBD" w:rsidP="00CD418F">
      <w:pPr>
        <w:jc w:val="center"/>
        <w:rPr>
          <w:b/>
          <w:bCs/>
          <w:u w:val="single"/>
        </w:rPr>
      </w:pPr>
      <w:r w:rsidRPr="00CD418F">
        <w:t>##### END SECTION 2 ####</w:t>
      </w:r>
      <w:r>
        <w:rPr>
          <w:b/>
          <w:bCs/>
          <w:u w:val="single"/>
        </w:rPr>
        <w:t>#</w:t>
      </w:r>
      <w:r>
        <w:rPr>
          <w:b/>
          <w:bCs/>
          <w:u w:val="single"/>
        </w:rPr>
        <w:br w:type="page"/>
      </w:r>
      <w:r w:rsidRPr="00370A88">
        <w:rPr>
          <w:b/>
          <w:bCs/>
          <w:u w:val="single"/>
        </w:rPr>
        <w:t>SECTION 3:  TECHNICAL SUMMARY OF PATHWAY AND CHASSI</w:t>
      </w:r>
      <w:r w:rsidRPr="00B00B1A">
        <w:rPr>
          <w:b/>
          <w:bCs/>
          <w:u w:val="single"/>
        </w:rPr>
        <w:t>S</w:t>
      </w:r>
    </w:p>
    <w:p w:rsidR="00CC4DBD" w:rsidRDefault="00CC4DBD" w:rsidP="00BD68C0">
      <w:pPr>
        <w:jc w:val="center"/>
      </w:pPr>
    </w:p>
    <w:p w:rsidR="00CC4DBD" w:rsidRPr="00F42228" w:rsidRDefault="00CC4DBD" w:rsidP="00B00B1A">
      <w:pPr>
        <w:rPr>
          <w:rFonts w:cs="Calibri"/>
          <w:b/>
          <w:sz w:val="26"/>
          <w:szCs w:val="26"/>
        </w:rPr>
      </w:pPr>
      <w:r w:rsidRPr="00F42228">
        <w:rPr>
          <w:rFonts w:cs="Calibri"/>
          <w:b/>
          <w:sz w:val="26"/>
          <w:szCs w:val="26"/>
        </w:rPr>
        <w:t xml:space="preserve">Lumin Arsenic </w:t>
      </w:r>
      <w:r>
        <w:rPr>
          <w:rFonts w:cs="Calibri"/>
          <w:b/>
          <w:sz w:val="26"/>
          <w:szCs w:val="26"/>
        </w:rPr>
        <w:t>Biosensor</w:t>
      </w:r>
    </w:p>
    <w:p w:rsidR="00CC4DBD" w:rsidRDefault="00CC4DBD" w:rsidP="00B00B1A">
      <w:pPr>
        <w:rPr>
          <w:rFonts w:cs="Calibri"/>
          <w:u w:val="single"/>
        </w:rPr>
      </w:pPr>
    </w:p>
    <w:p w:rsidR="00CC4DBD" w:rsidRPr="006C74F9" w:rsidRDefault="00CC4DBD" w:rsidP="00B00B1A">
      <w:pPr>
        <w:rPr>
          <w:rFonts w:cs="Calibri"/>
          <w:u w:val="single"/>
        </w:rPr>
      </w:pPr>
      <w:r>
        <w:rPr>
          <w:noProof/>
          <w:lang w:eastAsia="zh-CN"/>
        </w:rPr>
        <w:pict>
          <v:shapetype id="_x0000_t202" coordsize="21600,21600" o:spt="202" path="m,l,21600r21600,l21600,xe">
            <v:stroke joinstyle="miter"/>
            <v:path gradientshapeok="t" o:connecttype="rect"/>
          </v:shapetype>
          <v:shape id="_x0000_s1026" type="#_x0000_t202" style="position:absolute;margin-left:195pt;margin-top:9.55pt;width:281.25pt;height:314.55pt;z-index:251652608" filled="f" stroked="f">
            <v:textbox style="mso-next-textbox:#_x0000_s1026">
              <w:txbxContent>
                <w:p w:rsidR="00CC4DBD" w:rsidRDefault="00CC4DBD" w:rsidP="00B00B1A">
                  <w:pPr>
                    <w:ind w:left="120"/>
                    <w:jc w:val="center"/>
                  </w:pPr>
                  <w:r w:rsidRPr="00882C98">
                    <w:rPr>
                      <w:noProof/>
                      <w:lang w:eastAsia="zh-CN"/>
                    </w:rPr>
                    <w:pict>
                      <v:shape id="Picture 2" o:spid="_x0000_i1029" type="#_x0000_t75" style="width:264.75pt;height:233.25pt;visibility:visible">
                        <v:imagedata r:id="rId12" o:title=""/>
                      </v:shape>
                    </w:pict>
                  </w:r>
                </w:p>
                <w:p w:rsidR="00CC4DBD" w:rsidRDefault="00CC4DBD">
                  <w:pPr>
                    <w:ind w:left="120"/>
                    <w:jc w:val="both"/>
                  </w:pPr>
                  <w:r w:rsidRPr="00801F31">
                    <w:rPr>
                      <w:b/>
                    </w:rPr>
                    <w:t>Figure 1.</w:t>
                  </w:r>
                  <w:r>
                    <w:t xml:space="preserve"> Use of the Lumin arsenic biosensor. The bacterial strain, lactose, and bromothymol blue are present inside a one-way tube. The sample water is added to the tube, and the solution will turn yellow if arsenic is present, or remain blue is arsenic is not present.</w:t>
                  </w:r>
                </w:p>
              </w:txbxContent>
            </v:textbox>
            <w10:wrap type="square"/>
          </v:shape>
        </w:pict>
      </w:r>
      <w:r>
        <w:rPr>
          <w:rFonts w:cs="Calibri"/>
          <w:u w:val="single"/>
        </w:rPr>
        <w:t>Overview:</w:t>
      </w:r>
    </w:p>
    <w:p w:rsidR="00CC4DBD" w:rsidRDefault="00CC4DBD" w:rsidP="00B00B1A">
      <w:pPr>
        <w:rPr>
          <w:rFonts w:cs="Calibri"/>
        </w:rPr>
      </w:pPr>
    </w:p>
    <w:p w:rsidR="00CC4DBD" w:rsidRDefault="00CC4DBD">
      <w:pPr>
        <w:jc w:val="both"/>
        <w:rPr>
          <w:rFonts w:cs="Calibri"/>
        </w:rPr>
      </w:pPr>
      <w:r w:rsidRPr="006C74F9">
        <w:rPr>
          <w:rFonts w:cs="Calibri"/>
        </w:rPr>
        <w:t>Lumin has developed a</w:t>
      </w:r>
      <w:r>
        <w:rPr>
          <w:rFonts w:cs="Calibri"/>
        </w:rPr>
        <w:t xml:space="preserve"> bacterial strain </w:t>
      </w:r>
      <w:r w:rsidRPr="006C74F9">
        <w:rPr>
          <w:rFonts w:cs="Calibri"/>
        </w:rPr>
        <w:t>that changes the acidi</w:t>
      </w:r>
      <w:r>
        <w:rPr>
          <w:rFonts w:cs="Calibri"/>
        </w:rPr>
        <w:t xml:space="preserve">ty of its surrounding solution in the presence of arsenic. Figure 1 illustrates use of this strain to detect arsenic contamination. </w:t>
      </w:r>
      <w:r w:rsidRPr="006C74F9">
        <w:rPr>
          <w:rFonts w:cs="Calibri"/>
        </w:rPr>
        <w:t xml:space="preserve">The bacterial strain </w:t>
      </w:r>
      <w:r>
        <w:rPr>
          <w:rFonts w:cs="Calibri"/>
        </w:rPr>
        <w:t>is</w:t>
      </w:r>
      <w:r w:rsidRPr="006C74F9">
        <w:rPr>
          <w:rFonts w:cs="Calibri"/>
        </w:rPr>
        <w:t xml:space="preserve"> contained in a one-way plastic tube, into which a possibly contaminated water sample </w:t>
      </w:r>
      <w:r>
        <w:rPr>
          <w:rFonts w:cs="Calibri"/>
        </w:rPr>
        <w:t>is</w:t>
      </w:r>
      <w:r w:rsidRPr="006C74F9">
        <w:rPr>
          <w:rFonts w:cs="Calibri"/>
        </w:rPr>
        <w:t xml:space="preserve"> poured. </w:t>
      </w:r>
      <w:r>
        <w:rPr>
          <w:rFonts w:cs="Calibri"/>
        </w:rPr>
        <w:t>Lactose, a sugar, and bromothymol blue, a chemical indicator, are also present inside the tube. Presence of arsenic in the solution activates a gene in the bacterial strain that breaks down lactose. Degradation of lactose increases the acidity of the solution. Bromothymol blue, which is normally blue, turns yellow as the acidity of the solution increases</w:t>
      </w:r>
      <w:r w:rsidRPr="006C74F9">
        <w:rPr>
          <w:rFonts w:cs="Calibri"/>
        </w:rPr>
        <w:t xml:space="preserve">. After overnight incubation, if </w:t>
      </w:r>
      <w:r>
        <w:rPr>
          <w:rFonts w:cs="Calibri"/>
        </w:rPr>
        <w:t>the arsenic concentration in the water sample is above the limit set by the WHO</w:t>
      </w:r>
      <w:r w:rsidRPr="006C74F9">
        <w:rPr>
          <w:rFonts w:cs="Calibri"/>
        </w:rPr>
        <w:t>, the acidity of the solution will increase, and the solution</w:t>
      </w:r>
      <w:r>
        <w:rPr>
          <w:rFonts w:cs="Calibri"/>
        </w:rPr>
        <w:t xml:space="preserve"> will change color from blue to yellow. Figure 2 shows laboratory tests of the Lumin arsenic biosensor.</w:t>
      </w:r>
    </w:p>
    <w:p w:rsidR="00CC4DBD" w:rsidRPr="0063328F" w:rsidRDefault="00CC4DBD" w:rsidP="00B00B1A">
      <w:pPr>
        <w:rPr>
          <w:rFonts w:cs="Calibri"/>
        </w:rPr>
      </w:pPr>
    </w:p>
    <w:p w:rsidR="00CC4DBD" w:rsidRDefault="00CC4DBD" w:rsidP="00B00B1A">
      <w:pPr>
        <w:jc w:val="center"/>
        <w:rPr>
          <w:rFonts w:cs="Calibri"/>
          <w:u w:val="single"/>
        </w:rPr>
      </w:pPr>
      <w:r w:rsidRPr="00E50FB0">
        <w:rPr>
          <w:rFonts w:cs="Calibri"/>
          <w:noProof/>
          <w:lang w:eastAsia="zh-CN"/>
        </w:rPr>
        <w:pict>
          <v:shape id="Picture 3" o:spid="_x0000_i1030" type="#_x0000_t75" style="width:342.75pt;height:156.75pt;visibility:visible">
            <v:imagedata r:id="rId13" o:title=""/>
          </v:shape>
        </w:pict>
      </w:r>
    </w:p>
    <w:p w:rsidR="00CC4DBD" w:rsidRDefault="00CC4DBD" w:rsidP="00B00B1A">
      <w:pPr>
        <w:rPr>
          <w:b/>
        </w:rPr>
      </w:pPr>
    </w:p>
    <w:p w:rsidR="00CC4DBD" w:rsidRPr="0063328F" w:rsidRDefault="00CC4DBD" w:rsidP="00B00B1A">
      <w:r>
        <w:rPr>
          <w:b/>
        </w:rPr>
        <w:t>Figure 2.</w:t>
      </w:r>
      <w:r>
        <w:t xml:space="preserve"> Laboratory tests of the Lumin arsenic biosensor. The system can detect arsenic concentrations down to 5 ppb. Blue indicates the absence of arsenic, yellow indicates the presence of arsenic.</w:t>
      </w:r>
      <w:r>
        <w:rPr>
          <w:rFonts w:cs="Calibri"/>
          <w:u w:val="single"/>
        </w:rPr>
        <w:br w:type="page"/>
      </w:r>
    </w:p>
    <w:p w:rsidR="00CC4DBD" w:rsidRPr="003F6121" w:rsidRDefault="00CC4DBD" w:rsidP="000A15D0">
      <w:pPr>
        <w:rPr>
          <w:u w:val="single"/>
        </w:rPr>
      </w:pPr>
      <w:r>
        <w:rPr>
          <w:noProof/>
          <w:lang w:eastAsia="zh-CN"/>
        </w:rPr>
        <w:pict>
          <v:shape id="_x0000_s1027" type="#_x0000_t202" style="position:absolute;margin-left:249.05pt;margin-top:12.6pt;width:228.45pt;height:231.9pt;z-index:251656704" filled="f" stroked="f">
            <v:textbox style="mso-next-textbox:#_x0000_s1027">
              <w:txbxContent>
                <w:p w:rsidR="00CC4DBD" w:rsidRDefault="00CC4DBD" w:rsidP="000A15D0">
                  <w:pPr>
                    <w:jc w:val="center"/>
                  </w:pPr>
                  <w:r w:rsidRPr="00882C98">
                    <w:rPr>
                      <w:noProof/>
                      <w:lang w:eastAsia="zh-CN"/>
                    </w:rPr>
                    <w:pict>
                      <v:shape id="Picture 8" o:spid="_x0000_i1032" type="#_x0000_t75" style="width:141pt;height:193.5pt;visibility:visible">
                        <v:imagedata r:id="rId14" o:title=""/>
                      </v:shape>
                    </w:pict>
                  </w:r>
                </w:p>
                <w:p w:rsidR="00CC4DBD" w:rsidRDefault="00CC4DBD" w:rsidP="000A15D0">
                  <w:r>
                    <w:rPr>
                      <w:b/>
                    </w:rPr>
                    <w:t>Figure 6</w:t>
                  </w:r>
                  <w:r w:rsidRPr="00801F31">
                    <w:rPr>
                      <w:b/>
                    </w:rPr>
                    <w:t>.</w:t>
                  </w:r>
                  <w:r>
                    <w:t xml:space="preserve"> DNA encodes for RNA, which encodes for proteins.</w:t>
                  </w:r>
                </w:p>
              </w:txbxContent>
            </v:textbox>
            <w10:wrap type="square"/>
          </v:shape>
        </w:pict>
      </w:r>
      <w:r w:rsidRPr="003F6121">
        <w:rPr>
          <w:u w:val="single"/>
        </w:rPr>
        <w:t>Central Dogma of Molecular Biology:</w:t>
      </w:r>
    </w:p>
    <w:p w:rsidR="00CC4DBD" w:rsidRDefault="00CC4DBD">
      <w:pPr>
        <w:jc w:val="both"/>
      </w:pPr>
    </w:p>
    <w:p w:rsidR="00CC4DBD" w:rsidRDefault="00CC4DBD">
      <w:pPr>
        <w:jc w:val="both"/>
      </w:pPr>
      <w:r>
        <w:t xml:space="preserve">DNA stores the genetic instructions for cellular growth and maintenance. DNA is composed of sequences of four building blocks, called nucleotides, which are abbreviated A, G, T and C. When cells reproduce, a near-identical copy of the parental DNA is replicated for each daughter cell, maintaining genetic continuity throughout generations. </w:t>
      </w:r>
    </w:p>
    <w:p w:rsidR="00CC4DBD" w:rsidRDefault="00CC4DBD">
      <w:pPr>
        <w:jc w:val="both"/>
      </w:pPr>
    </w:p>
    <w:p w:rsidR="00CC4DBD" w:rsidRDefault="00CC4DBD">
      <w:pPr>
        <w:jc w:val="both"/>
      </w:pPr>
      <w:r>
        <w:t>DNA is transcribed to RNA, and RNA is translated to protein by ribosomes (Figure 6). Proteins are the molecular machineries of cells and are composed of sequences of amino acids. Twenty one amino acids occur naturally in cells, and each amino acid is encoded by a sequence of three nucleotides, called codons, in RNA.</w:t>
      </w:r>
    </w:p>
    <w:p w:rsidR="00CC4DBD" w:rsidRDefault="00CC4DBD" w:rsidP="00B00B1A">
      <w:pPr>
        <w:rPr>
          <w:rFonts w:cs="Calibri"/>
          <w:u w:val="single"/>
        </w:rPr>
      </w:pPr>
    </w:p>
    <w:p w:rsidR="00CC4DBD" w:rsidRDefault="00CC4DBD" w:rsidP="00B00B1A">
      <w:pPr>
        <w:rPr>
          <w:rFonts w:cs="Calibri"/>
          <w:u w:val="single"/>
        </w:rPr>
      </w:pPr>
      <w:r>
        <w:rPr>
          <w:rFonts w:cs="Calibri"/>
          <w:u w:val="single"/>
        </w:rPr>
        <w:t>Lumin Biological Pathway:</w:t>
      </w:r>
    </w:p>
    <w:p w:rsidR="00CC4DBD" w:rsidRDefault="00CC4DBD" w:rsidP="00B00B1A">
      <w:pPr>
        <w:rPr>
          <w:rFonts w:cs="Calibri"/>
          <w:u w:val="single"/>
        </w:rPr>
      </w:pPr>
    </w:p>
    <w:p w:rsidR="00CC4DBD" w:rsidRDefault="00CC4DBD">
      <w:pPr>
        <w:jc w:val="both"/>
        <w:rPr>
          <w:rFonts w:cs="Calibri"/>
          <w:noProof/>
        </w:rPr>
      </w:pPr>
      <w:r>
        <w:rPr>
          <w:rFonts w:cs="Calibri"/>
        </w:rPr>
        <w:t xml:space="preserve">The Lumin pathway combines two </w:t>
      </w:r>
      <w:r w:rsidRPr="006C74F9">
        <w:rPr>
          <w:rFonts w:cs="Calibri"/>
          <w:i/>
          <w:iCs/>
        </w:rPr>
        <w:t>Escherichia coli</w:t>
      </w:r>
      <w:r>
        <w:rPr>
          <w:rFonts w:cs="Calibri"/>
        </w:rPr>
        <w:t xml:space="preserve"> DNA segments in a novel manner. The pathway uses a portion of the arsenic detoxification (Ars) system and a portion of lactose (Lac) metabolism system, both naturally present in </w:t>
      </w:r>
      <w:r>
        <w:rPr>
          <w:rFonts w:cs="Calibri"/>
          <w:i/>
          <w:noProof/>
        </w:rPr>
        <w:t xml:space="preserve">E. coli </w:t>
      </w:r>
      <w:r>
        <w:rPr>
          <w:rFonts w:cs="Calibri"/>
          <w:noProof/>
        </w:rPr>
        <w:t>(Figure 3)</w:t>
      </w:r>
      <w:r>
        <w:rPr>
          <w:rFonts w:cs="Calibri"/>
          <w:i/>
          <w:noProof/>
        </w:rPr>
        <w:t xml:space="preserve">. </w:t>
      </w:r>
      <w:r>
        <w:rPr>
          <w:rFonts w:cs="Calibri"/>
          <w:noProof/>
        </w:rPr>
        <w:t xml:space="preserve">The Ars promoter and ArsR protein comprise the system that detects the presence of arsenic, and the LacZ protein changes the acidity of the solution. </w:t>
      </w:r>
    </w:p>
    <w:p w:rsidR="00CC4DBD" w:rsidRDefault="00CC4DBD" w:rsidP="00B00B1A">
      <w:pPr>
        <w:rPr>
          <w:rFonts w:cs="Calibri"/>
        </w:rPr>
      </w:pPr>
    </w:p>
    <w:p w:rsidR="00CC4DBD" w:rsidRPr="006C74F9" w:rsidRDefault="00CC4DBD" w:rsidP="00B00B1A">
      <w:pPr>
        <w:rPr>
          <w:rFonts w:cs="Calibri"/>
        </w:rPr>
      </w:pPr>
      <w:r w:rsidRPr="00E50FB0">
        <w:rPr>
          <w:rFonts w:cs="Calibri"/>
          <w:noProof/>
          <w:lang w:eastAsia="zh-CN"/>
        </w:rPr>
        <w:pict>
          <v:shape id="Picture 9" o:spid="_x0000_i1033" type="#_x0000_t75" style="width:466.5pt;height:93pt;visibility:visible">
            <v:imagedata r:id="rId15" o:title=""/>
          </v:shape>
        </w:pict>
      </w:r>
    </w:p>
    <w:p w:rsidR="00CC4DBD" w:rsidRDefault="00CC4DBD" w:rsidP="00B00B1A">
      <w:pPr>
        <w:rPr>
          <w:rFonts w:cs="Calibri"/>
          <w:b/>
        </w:rPr>
      </w:pPr>
    </w:p>
    <w:p w:rsidR="00CC4DBD" w:rsidRDefault="00CC4DBD">
      <w:pPr>
        <w:jc w:val="both"/>
        <w:rPr>
          <w:rFonts w:cs="Calibri"/>
        </w:rPr>
      </w:pPr>
      <w:r>
        <w:rPr>
          <w:rFonts w:cs="Calibri"/>
          <w:b/>
        </w:rPr>
        <w:t>Figure 3</w:t>
      </w:r>
      <w:r w:rsidRPr="00F42228">
        <w:rPr>
          <w:rFonts w:cs="Calibri"/>
          <w:b/>
        </w:rPr>
        <w:t>.</w:t>
      </w:r>
      <w:r>
        <w:rPr>
          <w:rFonts w:cs="Calibri"/>
        </w:rPr>
        <w:t xml:space="preserve"> Physical DNA layout of the Lumin arsenic biosensing pathway, which consists of the Ars promoter, ArsR gene, and LacZ gene.</w:t>
      </w:r>
    </w:p>
    <w:p w:rsidR="00CC4DBD" w:rsidRDefault="00CC4DBD" w:rsidP="00B00B1A">
      <w:pPr>
        <w:rPr>
          <w:rFonts w:cs="Calibri"/>
        </w:rPr>
      </w:pPr>
    </w:p>
    <w:p w:rsidR="00CC4DBD" w:rsidRDefault="00CC4DBD">
      <w:pPr>
        <w:jc w:val="both"/>
        <w:rPr>
          <w:rFonts w:cs="Calibri"/>
        </w:rPr>
      </w:pPr>
      <w:r>
        <w:rPr>
          <w:rFonts w:cs="Calibri"/>
        </w:rPr>
        <w:t>Promoters are DNA regions that initiate transcription of downstream genes and thus control the first steps in the synthesis of proteins. Binding of regulatory proteins to particular promoters can either block or facilitate promoter activity. The Ars promoter is inactivated in the absence of arsenic and activated in the presence of arsenic (Figure 4). In the absence of arsenic, a regulatory protein called ArsR binds to and inhibits the Ars promoter</w:t>
      </w:r>
      <w:r>
        <w:t xml:space="preserve">. In presence of arsenic, arsenic binds to ArsR, which causes ArsR to dissociate from the Ars promoter and thus relieves the inhibition of the Ars promoter. </w:t>
      </w:r>
    </w:p>
    <w:p w:rsidR="00CC4DBD" w:rsidRDefault="00CC4DBD" w:rsidP="00B00B1A"/>
    <w:p w:rsidR="00CC4DBD" w:rsidRDefault="00CC4DBD" w:rsidP="00B00B1A">
      <w:pPr>
        <w:rPr>
          <w:rFonts w:cs="Calibri"/>
        </w:rPr>
      </w:pPr>
      <w:r>
        <w:t xml:space="preserve">In the Lumin configuration, when arsenic is present and the Ars promoter is active, downstream genes, ArsR and LacZ, are transcribed and translated. LacZ degrades lactose present in the solution, which increases the acidity of the solution. Increased acidity changes the color of </w:t>
      </w:r>
      <w:r>
        <w:rPr>
          <w:rFonts w:cs="Calibri"/>
        </w:rPr>
        <w:t xml:space="preserve">bromothymol blue from blue to yellow. Figure 5 shows that the change in the acidity of the solution over time depends on the concentration of arsenic in the solution. </w:t>
      </w:r>
      <w:r>
        <w:rPr>
          <w:rFonts w:cs="Calibri"/>
          <w:noProof/>
        </w:rPr>
        <w:br w:type="page"/>
      </w:r>
    </w:p>
    <w:p w:rsidR="00CC4DBD" w:rsidRDefault="00CC4DBD" w:rsidP="00B00B1A">
      <w:pPr>
        <w:ind w:firstLine="720"/>
        <w:rPr>
          <w:rFonts w:cs="Calibri"/>
        </w:rPr>
      </w:pPr>
      <w:r>
        <w:rPr>
          <w:noProof/>
          <w:lang w:eastAsia="zh-CN"/>
        </w:rPr>
        <w:pict>
          <v:shape id="_x0000_s1028" type="#_x0000_t202" style="position:absolute;left:0;text-align:left;margin-left:15.6pt;margin-top:-11.55pt;width:125.3pt;height:20.65pt;z-index:251654656" stroked="f">
            <v:textbox style="mso-next-textbox:#_x0000_s1028;mso-fit-shape-to-text:t">
              <w:txbxContent>
                <w:p w:rsidR="00CC4DBD" w:rsidRPr="00CB79BE" w:rsidRDefault="00CC4DBD" w:rsidP="00B00B1A">
                  <w:pPr>
                    <w:rPr>
                      <w:b/>
                    </w:rPr>
                  </w:pPr>
                  <w:r w:rsidRPr="00CB79BE">
                    <w:rPr>
                      <w:b/>
                    </w:rPr>
                    <w:t>a)</w:t>
                  </w:r>
                  <w:r>
                    <w:rPr>
                      <w:b/>
                    </w:rPr>
                    <w:t xml:space="preserve">   No arsenic present</w:t>
                  </w:r>
                </w:p>
              </w:txbxContent>
            </v:textbox>
          </v:shape>
        </w:pict>
      </w:r>
      <w:r>
        <w:rPr>
          <w:rFonts w:cs="Calibri"/>
        </w:rPr>
        <w:t xml:space="preserve">      </w:t>
      </w:r>
      <w:r w:rsidRPr="00E50FB0">
        <w:rPr>
          <w:rFonts w:cs="Calibri"/>
          <w:noProof/>
          <w:lang w:eastAsia="zh-CN"/>
        </w:rPr>
        <w:pict>
          <v:shape id="Picture 11" o:spid="_x0000_i1034" type="#_x0000_t75" style="width:353.25pt;height:112.5pt;visibility:visible">
            <v:imagedata r:id="rId16" o:title=""/>
          </v:shape>
        </w:pict>
      </w:r>
    </w:p>
    <w:p w:rsidR="00CC4DBD" w:rsidRDefault="00CC4DBD" w:rsidP="00B00B1A">
      <w:pPr>
        <w:jc w:val="center"/>
        <w:rPr>
          <w:rFonts w:cs="Calibri"/>
        </w:rPr>
      </w:pPr>
    </w:p>
    <w:p w:rsidR="00CC4DBD" w:rsidRDefault="00CC4DBD" w:rsidP="00B00B1A">
      <w:pPr>
        <w:jc w:val="center"/>
        <w:rPr>
          <w:rFonts w:cs="Calibri"/>
        </w:rPr>
      </w:pPr>
      <w:r>
        <w:rPr>
          <w:noProof/>
          <w:lang w:eastAsia="zh-CN"/>
        </w:rPr>
        <w:pict>
          <v:shape id="_x0000_s1029" type="#_x0000_t202" style="position:absolute;left:0;text-align:left;margin-left:15.7pt;margin-top:4.6pt;width:140.3pt;height:22.9pt;z-index:251655680" stroked="f">
            <v:textbox style="mso-next-textbox:#_x0000_s1029">
              <w:txbxContent>
                <w:p w:rsidR="00CC4DBD" w:rsidRPr="00CB79BE" w:rsidRDefault="00CC4DBD" w:rsidP="00B00B1A">
                  <w:pPr>
                    <w:rPr>
                      <w:b/>
                    </w:rPr>
                  </w:pPr>
                  <w:r w:rsidRPr="00CB79BE">
                    <w:rPr>
                      <w:b/>
                    </w:rPr>
                    <w:t>b)</w:t>
                  </w:r>
                  <w:r>
                    <w:rPr>
                      <w:b/>
                    </w:rPr>
                    <w:t xml:space="preserve">   Arsenic present</w:t>
                  </w:r>
                </w:p>
              </w:txbxContent>
            </v:textbox>
          </v:shape>
        </w:pict>
      </w:r>
      <w:r w:rsidRPr="00E50FB0">
        <w:rPr>
          <w:rFonts w:cs="Calibri"/>
          <w:noProof/>
          <w:lang w:eastAsia="zh-CN"/>
        </w:rPr>
        <w:pict>
          <v:shape id="Picture 10" o:spid="_x0000_i1035" type="#_x0000_t75" style="width:362.25pt;height:181.5pt;visibility:visible">
            <v:imagedata r:id="rId17" o:title=""/>
          </v:shape>
        </w:pict>
      </w:r>
    </w:p>
    <w:p w:rsidR="00CC4DBD" w:rsidRDefault="00CC4DBD" w:rsidP="00B00B1A">
      <w:pPr>
        <w:jc w:val="center"/>
        <w:rPr>
          <w:rFonts w:cs="Calibri"/>
        </w:rPr>
      </w:pPr>
    </w:p>
    <w:p w:rsidR="00CC4DBD" w:rsidRDefault="00CC4DBD" w:rsidP="00B00B1A">
      <w:pPr>
        <w:rPr>
          <w:rFonts w:cs="Calibri"/>
        </w:rPr>
      </w:pPr>
      <w:r>
        <w:rPr>
          <w:rFonts w:cs="Calibri"/>
          <w:b/>
        </w:rPr>
        <w:t xml:space="preserve">Figure 4. </w:t>
      </w:r>
      <w:r w:rsidRPr="00CB79BE">
        <w:rPr>
          <w:rFonts w:cs="Calibri"/>
        </w:rPr>
        <w:t>a) In the</w:t>
      </w:r>
      <w:r>
        <w:rPr>
          <w:rFonts w:cs="Calibri"/>
        </w:rPr>
        <w:t xml:space="preserve"> absence of arsenic, the Ars promoter is repressed by ArsR. b) In the presence of arsenic, ArsR is inactivated, which relives its inhibition on the Ars promoter. As a result, LacZ is produced, which degrades lactose. The degradation products of lactose increase the acidity of the solution, turning bromothymol blue from blue to yellow. RBS stands for ribosomal binding site, a DNA sequence that is needed before each gene to initiate translation at the ribosome.</w:t>
      </w:r>
    </w:p>
    <w:p w:rsidR="00CC4DBD" w:rsidRPr="0033606B" w:rsidRDefault="00CC4DBD" w:rsidP="00B00B1A">
      <w:pPr>
        <w:rPr>
          <w:rFonts w:cs="Calibri"/>
          <w:b/>
        </w:rPr>
      </w:pPr>
    </w:p>
    <w:p w:rsidR="00CC4DBD" w:rsidRDefault="00CC4DBD" w:rsidP="000233B6">
      <w:pPr>
        <w:jc w:val="center"/>
        <w:rPr>
          <w:rFonts w:cs="Calibri"/>
          <w:noProof/>
        </w:rPr>
      </w:pPr>
      <w:r>
        <w:rPr>
          <w:noProof/>
          <w:lang w:eastAsia="zh-CN"/>
        </w:rPr>
        <w:pict>
          <v:shape id="_x0000_s1030" type="#_x0000_t202" style="position:absolute;left:0;text-align:left;margin-left:280.5pt;margin-top:2.75pt;width:210pt;height:181.5pt;z-index:251653632" stroked="f">
            <v:textbox style="mso-next-textbox:#_x0000_s1030">
              <w:txbxContent>
                <w:p w:rsidR="00CC4DBD" w:rsidRDefault="00CC4DBD" w:rsidP="00B00B1A">
                  <w:r>
                    <w:rPr>
                      <w:b/>
                    </w:rPr>
                    <w:t xml:space="preserve">Figure 5. </w:t>
                  </w:r>
                  <w:r w:rsidRPr="00CB79BE">
                    <w:t>Response of</w:t>
                  </w:r>
                  <w:r>
                    <w:t xml:space="preserve"> the</w:t>
                  </w:r>
                  <w:r w:rsidRPr="00CB79BE">
                    <w:t xml:space="preserve"> Lumin arsenic biosensor to arsenic</w:t>
                  </w:r>
                  <w:r>
                    <w:t xml:space="preserve"> concentrations over time. The bacterial strain and lactose were incubated in solutions with specified arsenic concentrations. Arsenic triggers the production of LacZ, which breaks down lactose. The degradation products of lactose increase the acidity of the solution. A lower pH value indicates higher acidity. The dashed line indicates the pH level below which bromothymol blue turns from blue to yellow.</w:t>
                  </w:r>
                </w:p>
                <w:p w:rsidR="00CC4DBD" w:rsidRDefault="00CC4DBD" w:rsidP="00B00B1A"/>
              </w:txbxContent>
            </v:textbox>
          </v:shape>
        </w:pict>
      </w:r>
      <w:r>
        <w:rPr>
          <w:noProof/>
          <w:lang w:eastAsia="zh-CN"/>
        </w:rPr>
        <w:pict>
          <v:shapetype id="_x0000_t32" coordsize="21600,21600" o:spt="32" o:oned="t" path="m,l21600,21600e" filled="f">
            <v:path arrowok="t" fillok="f" o:connecttype="none"/>
            <o:lock v:ext="edit" shapetype="t"/>
          </v:shapetype>
          <v:shape id="_x0000_s1031" type="#_x0000_t32" style="position:absolute;left:0;text-align:left;margin-left:39.3pt;margin-top:64.95pt;width:214.75pt;height:0;z-index:251651584" o:connectortype="straight" strokeweight="2pt">
            <v:stroke dashstyle="dash"/>
          </v:shape>
        </w:pict>
      </w:r>
      <w:r w:rsidRPr="00E50FB0">
        <w:rPr>
          <w:rFonts w:cs="Calibri"/>
          <w:noProof/>
          <w:lang w:eastAsia="zh-CN"/>
        </w:rPr>
        <w:pict>
          <v:shape id="C 4" o:spid="_x0000_i1036" type="#_x0000_t75" style="width:350.25pt;height:20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w3//2gAAAAUBAAAPAAAAZHJzL2Rvd25y&#10;ZXYueG1sTI/BTsMwEETvSPyDtUjcqF1IC4Q4VYRU0Suh3N14G0fE6xBvm/D3GC5wWWk0o5m3xWb2&#10;vTjjGLtAGpYLBQKpCbajVsP+bXvzACKyIWv6QKjhCyNsysuLwuQ2TPSK55pbkUoo5kaDYx5yKWPj&#10;0Ju4CANS8o5h9IaTHFtpRzOlct/LW6XW0puO0oIzAz47bD7qk9fwWb1It33Mju98t9vXq6aadt2k&#10;9fXVXD2BYJz5Lww/+AkdysR0CCeyUfQa0iP8e5N3r9YrEAcN2TJTIMtC/qcvvwE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">
            <v:imagedata r:id="rId18" o:title="" croptop="-3712f" cropbottom="-3712f" cropleft="-844f" cropright="-22630f"/>
            <o:lock v:ext="edit" aspectratio="f"/>
          </v:shape>
        </w:pict>
      </w:r>
    </w:p>
    <w:p w:rsidR="00CC4DBD" w:rsidRDefault="00CC4DBD" w:rsidP="000233B6">
      <w:pPr>
        <w:jc w:val="center"/>
        <w:rPr>
          <w:rFonts w:cs="Calibri"/>
          <w:noProof/>
        </w:rPr>
      </w:pPr>
    </w:p>
    <w:p w:rsidR="00CC4DBD" w:rsidRDefault="00CC4DBD" w:rsidP="00491A60">
      <w:pPr>
        <w:jc w:val="center"/>
      </w:pPr>
      <w:r>
        <w:t>#####  END SECTION 3 #####</w:t>
      </w:r>
    </w:p>
    <w:p w:rsidR="00CC4DBD" w:rsidRPr="002639A4" w:rsidRDefault="00CC4DBD" w:rsidP="000233B6">
      <w:pPr>
        <w:jc w:val="center"/>
        <w:rPr>
          <w:b/>
          <w:sz w:val="26"/>
          <w:szCs w:val="26"/>
          <w:u w:val="single"/>
        </w:rPr>
      </w:pPr>
      <w:r>
        <w:rPr>
          <w:b/>
          <w:sz w:val="26"/>
          <w:szCs w:val="26"/>
        </w:rPr>
        <w:br w:type="page"/>
      </w:r>
      <w:r w:rsidRPr="002639A4">
        <w:rPr>
          <w:b/>
          <w:u w:val="single"/>
        </w:rPr>
        <w:t>SECTION 4: BIOLOGICAL CHASSIS JM 109 AND RE.COLI</w:t>
      </w:r>
    </w:p>
    <w:p w:rsidR="00CC4DBD" w:rsidRPr="002639A4" w:rsidRDefault="00CC4DBD" w:rsidP="00695221">
      <w:pPr>
        <w:rPr>
          <w:rFonts w:cs="Calibri"/>
          <w:u w:val="single"/>
        </w:rPr>
      </w:pPr>
      <w:r w:rsidRPr="002639A4">
        <w:rPr>
          <w:rFonts w:cs="Calibri"/>
          <w:b/>
          <w:bCs/>
          <w:u w:val="single"/>
        </w:rPr>
        <w:t>JM109 Chassis</w:t>
      </w:r>
    </w:p>
    <w:p w:rsidR="00CC4DBD" w:rsidRPr="00695221" w:rsidRDefault="00CC4DBD" w:rsidP="00695221">
      <w:pPr>
        <w:rPr>
          <w:rFonts w:cs="Calibri"/>
          <w:i/>
          <w:iCs/>
        </w:rPr>
      </w:pPr>
    </w:p>
    <w:p w:rsidR="00CC4DBD" w:rsidRDefault="00CC4DBD">
      <w:pPr>
        <w:jc w:val="both"/>
        <w:rPr>
          <w:rFonts w:cs="Calibri"/>
        </w:rPr>
      </w:pPr>
      <w:r w:rsidRPr="00695221">
        <w:rPr>
          <w:rFonts w:cs="Calibri"/>
          <w:i/>
          <w:iCs/>
        </w:rPr>
        <w:t>Escherichia coli</w:t>
      </w:r>
      <w:r w:rsidRPr="00695221">
        <w:rPr>
          <w:rFonts w:cs="Calibri"/>
        </w:rPr>
        <w:t xml:space="preserve"> is a bacterial species that typically inhabits the colon of warm-blooded animals. Most </w:t>
      </w:r>
      <w:r w:rsidRPr="00695221">
        <w:rPr>
          <w:rFonts w:cs="Calibri"/>
          <w:i/>
          <w:iCs/>
        </w:rPr>
        <w:t>E. coli</w:t>
      </w:r>
      <w:r w:rsidRPr="00695221">
        <w:rPr>
          <w:rFonts w:cs="Calibri"/>
        </w:rPr>
        <w:t xml:space="preserve"> strains are harmless, and these bacteria benefit their hosts by producing vitamin K and preventing pathogenic bacteria from colonizing the gut. </w:t>
      </w:r>
      <w:r w:rsidRPr="00695221">
        <w:rPr>
          <w:rFonts w:cs="Calibri"/>
          <w:i/>
          <w:iCs/>
        </w:rPr>
        <w:t>E. coli</w:t>
      </w:r>
      <w:r w:rsidRPr="00695221">
        <w:rPr>
          <w:rFonts w:cs="Calibri"/>
        </w:rPr>
        <w:t xml:space="preserve"> presence is often tested in water samples to determine the cleanliness of the water source – a positive result indicates fecal contamination. There are strains of </w:t>
      </w:r>
      <w:r w:rsidRPr="00695221">
        <w:rPr>
          <w:rFonts w:cs="Calibri"/>
          <w:i/>
          <w:iCs/>
        </w:rPr>
        <w:t>E. coli</w:t>
      </w:r>
      <w:r w:rsidRPr="00695221">
        <w:rPr>
          <w:rFonts w:cs="Calibri"/>
        </w:rPr>
        <w:t>, such as O157:H7, that are pathogenic and can cause food poisoning if consumed in undercooked or contaminated food. Such strains possess genes that produce toxins that prevent proper cellular functioning in host cells. However, most strains are not pathogenic.</w:t>
      </w:r>
    </w:p>
    <w:p w:rsidR="00CC4DBD" w:rsidRPr="00695221" w:rsidRDefault="00CC4DBD" w:rsidP="00695221">
      <w:pPr>
        <w:rPr>
          <w:rFonts w:cs="Calibri"/>
        </w:rPr>
      </w:pPr>
    </w:p>
    <w:p w:rsidR="00CC4DBD" w:rsidRDefault="00CC4DBD">
      <w:pPr>
        <w:jc w:val="both"/>
        <w:rPr>
          <w:rFonts w:cs="Calibri"/>
        </w:rPr>
      </w:pPr>
      <w:r w:rsidRPr="00695221">
        <w:rPr>
          <w:rFonts w:cs="Calibri"/>
        </w:rPr>
        <w:t xml:space="preserve">Several </w:t>
      </w:r>
      <w:r w:rsidRPr="00695221">
        <w:rPr>
          <w:rFonts w:cs="Calibri"/>
          <w:i/>
          <w:iCs/>
        </w:rPr>
        <w:t>E. coli</w:t>
      </w:r>
      <w:r w:rsidRPr="00695221">
        <w:rPr>
          <w:rFonts w:cs="Calibri"/>
        </w:rPr>
        <w:t xml:space="preserve"> strains have been cultivated and adapted for laboratory use over many generations. These strains have lost their ability to grow in the guts of animals and generally only survive in laboratory media. One such strain is JM109. JM109 is a nonpathogenic, commercially available laboratory strain that is commonly used for recombinant DNA manipulations. Plasmids, which are DNA vectors, can be easily transformed into JM109.  The genome of JM109 has been mutated to prevent undesirable recombination of transformed plasmids with the host chromosome. JM109 is the current chassis for the Lumin system.</w:t>
      </w:r>
    </w:p>
    <w:p w:rsidR="00CC4DBD" w:rsidRPr="00695221" w:rsidRDefault="00CC4DBD" w:rsidP="00695221">
      <w:pPr>
        <w:jc w:val="center"/>
        <w:rPr>
          <w:rFonts w:cs="Calibri"/>
        </w:rPr>
      </w:pPr>
    </w:p>
    <w:p w:rsidR="00CC4DBD" w:rsidRPr="00347B56" w:rsidRDefault="00CC4DBD" w:rsidP="00695221">
      <w:pPr>
        <w:jc w:val="both"/>
        <w:rPr>
          <w:rFonts w:cs="Calibri"/>
          <w:b/>
          <w:bCs/>
          <w:u w:val="single"/>
        </w:rPr>
      </w:pPr>
      <w:r w:rsidRPr="00347B56">
        <w:rPr>
          <w:rFonts w:cs="Calibri"/>
          <w:b/>
          <w:bCs/>
          <w:u w:val="single"/>
        </w:rPr>
        <w:t>rE.coli Chassis</w:t>
      </w:r>
    </w:p>
    <w:p w:rsidR="00CC4DBD" w:rsidRPr="00695221" w:rsidRDefault="00CC4DBD" w:rsidP="00695221">
      <w:pPr>
        <w:rPr>
          <w:rFonts w:cs="Calibri"/>
        </w:rPr>
      </w:pPr>
    </w:p>
    <w:p w:rsidR="00CC4DBD" w:rsidRPr="00695221" w:rsidRDefault="00CC4DBD" w:rsidP="00695221">
      <w:pPr>
        <w:rPr>
          <w:rFonts w:cs="Calibri"/>
        </w:rPr>
      </w:pPr>
      <w:r w:rsidRPr="00695221">
        <w:rPr>
          <w:rFonts w:cs="Calibri"/>
        </w:rPr>
        <w:t xml:space="preserve">The </w:t>
      </w:r>
      <w:r w:rsidRPr="00695221">
        <w:rPr>
          <w:rFonts w:cs="Calibri"/>
          <w:i/>
        </w:rPr>
        <w:t>rE. coli</w:t>
      </w:r>
      <w:r w:rsidRPr="00695221">
        <w:rPr>
          <w:rFonts w:cs="Calibri"/>
        </w:rPr>
        <w:t xml:space="preserve"> chassis may provide an alternative </w:t>
      </w:r>
      <w:r w:rsidRPr="00695221">
        <w:rPr>
          <w:rFonts w:cs="Calibri"/>
          <w:i/>
          <w:iCs/>
        </w:rPr>
        <w:t>E. coli</w:t>
      </w:r>
      <w:r w:rsidRPr="00695221">
        <w:rPr>
          <w:rFonts w:cs="Calibri"/>
        </w:rPr>
        <w:t xml:space="preserve"> bacterial strain to JM109 and could, in the future, be used to host the Lumin arsenic biosensor system. Useful genetic features of JM109 and other common strains can also be engineered into </w:t>
      </w:r>
      <w:r w:rsidRPr="00695221">
        <w:rPr>
          <w:rFonts w:cs="Calibri"/>
          <w:i/>
        </w:rPr>
        <w:t>rE. coli</w:t>
      </w:r>
      <w:r w:rsidRPr="00695221">
        <w:rPr>
          <w:rFonts w:cs="Calibri"/>
        </w:rPr>
        <w:t>.</w:t>
      </w:r>
    </w:p>
    <w:p w:rsidR="00CC4DBD" w:rsidRPr="00695221" w:rsidRDefault="00CC4DBD" w:rsidP="00695221">
      <w:pPr>
        <w:rPr>
          <w:rFonts w:cs="Calibri"/>
          <w:u w:val="single"/>
        </w:rPr>
      </w:pPr>
    </w:p>
    <w:p w:rsidR="00CC4DBD" w:rsidRDefault="00CC4DBD">
      <w:pPr>
        <w:jc w:val="both"/>
        <w:rPr>
          <w:rFonts w:cs="Calibri"/>
          <w:u w:val="single"/>
        </w:rPr>
      </w:pPr>
      <w:r w:rsidRPr="00695221">
        <w:rPr>
          <w:rFonts w:cs="Calibri"/>
          <w:u w:val="single"/>
        </w:rPr>
        <w:t>Goal:</w:t>
      </w:r>
      <w:r w:rsidRPr="00695221">
        <w:rPr>
          <w:rFonts w:cs="Calibri"/>
        </w:rPr>
        <w:t xml:space="preserve"> Conservation of the genetic code between different species permits transmission of genetic material between these species. Reducing the similarity of genetic codes will decrease the chances of successful genetic transmission and the creation of hybrid organisms with unintended properties.  Complete untransmissibility, known as complete orthogonality, will fully block horizontal gene transfer; engineered strains would not correctly interpret DNA from wild species, and wild species would not correctly interpret DNA from engineered strains. </w:t>
      </w:r>
    </w:p>
    <w:p w:rsidR="00CC4DBD" w:rsidRPr="00695221" w:rsidRDefault="00CC4DBD" w:rsidP="00695221">
      <w:pPr>
        <w:rPr>
          <w:rFonts w:cs="Calibri"/>
          <w:u w:val="single"/>
        </w:rPr>
      </w:pPr>
    </w:p>
    <w:p w:rsidR="00CC4DBD" w:rsidRDefault="00CC4DBD">
      <w:pPr>
        <w:jc w:val="both"/>
        <w:rPr>
          <w:rFonts w:cs="Calibri"/>
          <w:u w:val="single"/>
        </w:rPr>
      </w:pPr>
      <w:r w:rsidRPr="00695221">
        <w:rPr>
          <w:rFonts w:cs="Calibri"/>
          <w:u w:val="single"/>
        </w:rPr>
        <w:t>Summary:</w:t>
      </w:r>
      <w:r w:rsidRPr="00695221">
        <w:rPr>
          <w:rFonts w:cs="Calibri"/>
        </w:rPr>
        <w:t xml:space="preserve"> The </w:t>
      </w:r>
      <w:r w:rsidRPr="00695221">
        <w:rPr>
          <w:rFonts w:cs="Calibri"/>
          <w:i/>
        </w:rPr>
        <w:t>rE. coli</w:t>
      </w:r>
      <w:r w:rsidRPr="00695221">
        <w:rPr>
          <w:rFonts w:cs="Calibri"/>
        </w:rPr>
        <w:t xml:space="preserve"> 1.0 strain is a first step towards complete genetic orthogonality. This extensively engineered strain—currently in its final stages of construction—has a genetic code that differs from wild-type species at one stop codon, TAG. All existing stop TAG codons were replaced with the synonymous stop TAA codon, and the gene that encodes the protein RF1, which recognizes TAG stop codons, will be deleted from the strain.</w:t>
      </w:r>
      <w:r>
        <w:rPr>
          <w:rFonts w:cs="Calibri"/>
        </w:rPr>
        <w:t xml:space="preserve"> </w:t>
      </w:r>
      <w:r w:rsidRPr="00695221">
        <w:rPr>
          <w:rFonts w:cs="Calibri"/>
        </w:rPr>
        <w:t xml:space="preserve">Without machinery to understand the TAG codon, the </w:t>
      </w:r>
      <w:r w:rsidRPr="00695221">
        <w:rPr>
          <w:rFonts w:cs="Calibri"/>
          <w:i/>
        </w:rPr>
        <w:t>rE. coli</w:t>
      </w:r>
      <w:r w:rsidRPr="00695221">
        <w:rPr>
          <w:rFonts w:cs="Calibri"/>
        </w:rPr>
        <w:t xml:space="preserve"> strain will not correctly read genes from wild-type species that end with TAG, and wild-type species will not correctly read genes from the Church strain that have internal TAG codons installed, in the middle of protein-coding DNA sequences, as “circuit-breakers.” This modification thus will prevent the transfer of some, but not all, gene functions between the </w:t>
      </w:r>
      <w:r w:rsidRPr="00695221">
        <w:rPr>
          <w:rFonts w:cs="Calibri"/>
          <w:i/>
        </w:rPr>
        <w:t>rE. coli</w:t>
      </w:r>
      <w:r w:rsidRPr="00695221">
        <w:rPr>
          <w:rFonts w:cs="Calibri"/>
        </w:rPr>
        <w:t xml:space="preserve"> strain and wild-type species. Genes with stop codons other than TAG can still be successfully transmitted to the engineered organism.</w:t>
      </w:r>
    </w:p>
    <w:p w:rsidR="00CC4DBD" w:rsidRDefault="00CC4DBD">
      <w:pPr>
        <w:jc w:val="both"/>
        <w:rPr>
          <w:rFonts w:cs="Calibri"/>
          <w:u w:val="single"/>
        </w:rPr>
      </w:pPr>
    </w:p>
    <w:p w:rsidR="00CC4DBD" w:rsidRDefault="00CC4DBD">
      <w:pPr>
        <w:jc w:val="both"/>
        <w:rPr>
          <w:rFonts w:cs="Calibri"/>
          <w:u w:val="single"/>
        </w:rPr>
      </w:pPr>
      <w:r w:rsidRPr="00695221">
        <w:rPr>
          <w:rFonts w:cs="Calibri"/>
          <w:u w:val="single"/>
        </w:rPr>
        <w:t>Genetic Code:</w:t>
      </w:r>
      <w:r w:rsidRPr="00695221">
        <w:rPr>
          <w:rFonts w:cs="Calibri"/>
        </w:rPr>
        <w:t xml:space="preserve"> The genetic code describes the mapping of codons in mRNA to the amino acids that make up proteins (Figure 7). This code has been strongly conserved throughout evolution; nearly all organisms utilize the same mapping of codons to amino acids. Transmissibility of engineered genes between species is thus an issue that must be seriously considered.</w:t>
      </w:r>
    </w:p>
    <w:p w:rsidR="00CC4DBD" w:rsidRDefault="00CC4DBD">
      <w:pPr>
        <w:ind w:firstLine="720"/>
        <w:jc w:val="both"/>
        <w:rPr>
          <w:rFonts w:cs="Calibri"/>
        </w:rPr>
      </w:pPr>
      <w:r w:rsidRPr="00695221">
        <w:rPr>
          <w:rFonts w:cs="Calibri"/>
        </w:rPr>
        <w:t xml:space="preserve">Each codon is associated with a particular amino acid, and almost all amino acids are associated with more than one codon. Each codon is recognized by its own tRNAs, molecules which deliver the appropriate amino acids to the ribosome based on the mRNA sequence (Figure 8). </w:t>
      </w:r>
    </w:p>
    <w:p w:rsidR="00CC4DBD" w:rsidRPr="00695221" w:rsidRDefault="00CC4DBD" w:rsidP="00695221">
      <w:pPr>
        <w:rPr>
          <w:rFonts w:cs="Calibri"/>
        </w:rPr>
      </w:pPr>
    </w:p>
    <w:p w:rsidR="00CC4DBD" w:rsidRPr="00695221" w:rsidRDefault="00CC4DBD" w:rsidP="00695221">
      <w:pPr>
        <w:ind w:firstLine="720"/>
        <w:rPr>
          <w:rFonts w:cs="Calibri"/>
        </w:rPr>
      </w:pPr>
      <w:r w:rsidRPr="00695221">
        <w:rPr>
          <w:rFonts w:cs="Calibri"/>
        </w:rPr>
        <w:t>Start and stop signals exist in RNA to signal to the ribosome where to start and stop translation. Primarily one start codon, AUG, is employed. Three stop codons, UAA (ochre), UAG (amber), and UGA (opal), exist. When the ribosome reads a stop codon, a tRNA is not brought to the ribosome to bring in the next amino acid. Instead, a protein called a release factor binds to the ribosome, stops translation, and releases the newly formed protein from the ribosome. Two release factors exist in cells: RF1 recognizes stop UAA and UAG codons, RF2 recognizes stop UAA and UGA codons.</w:t>
      </w:r>
    </w:p>
    <w:p w:rsidR="00CC4DBD" w:rsidRPr="00695221" w:rsidRDefault="00CC4DBD" w:rsidP="00695221">
      <w:pPr>
        <w:rPr>
          <w:rFonts w:cs="Calibri"/>
          <w:u w:val="single"/>
        </w:rPr>
      </w:pPr>
      <w:r>
        <w:rPr>
          <w:noProof/>
          <w:lang w:eastAsia="zh-CN"/>
        </w:rPr>
        <w:pict>
          <v:shape id="_x0000_s1032" type="#_x0000_t202" style="position:absolute;margin-left:287.55pt;margin-top:18.2pt;width:190.3pt;height:243.55pt;z-index:251659776" stroked="f">
            <v:textbox style="mso-next-textbox:#_x0000_s1032">
              <w:txbxContent>
                <w:p w:rsidR="00CC4DBD" w:rsidRDefault="00CC4DBD" w:rsidP="00C04D1E">
                  <w:pPr>
                    <w:rPr>
                      <w:u w:val="single"/>
                    </w:rPr>
                  </w:pPr>
                  <w:r>
                    <w:rPr>
                      <w:b/>
                      <w:bCs/>
                    </w:rPr>
                    <w:t>Figure 7</w:t>
                  </w:r>
                  <w:r>
                    <w:t>. The genetic code describes the mapping of RNA nucleotide triplets to amino acids. Note that DNA uses the nucleotides A, G, T, and C, and RNA uses the nucleotides A, G, U, and C. RNA uses U instead of T. This code is nearly universal, allowing very different organisms (ex. bacteria and viruses) to exchange DNA that encode for functional proteins.</w:t>
                  </w:r>
                </w:p>
                <w:p w:rsidR="00CC4DBD" w:rsidRDefault="00CC4DBD" w:rsidP="00C04D1E">
                  <w:pPr>
                    <w:jc w:val="center"/>
                  </w:pPr>
                </w:p>
              </w:txbxContent>
            </v:textbox>
          </v:shape>
        </w:pict>
      </w:r>
      <w:r>
        <w:rPr>
          <w:noProof/>
          <w:lang w:eastAsia="zh-CN"/>
        </w:rPr>
        <w:pict>
          <v:shape id="Picture 8" o:spid="_x0000_s1033" type="#_x0000_t75" style="position:absolute;margin-left:10.5pt;margin-top:7.05pt;width:256.25pt;height:201pt;z-index:251657728;visibility:visible">
            <v:imagedata r:id="rId19" o:title=""/>
          </v:shape>
        </w:pict>
      </w:r>
      <w:r>
        <w:rPr>
          <w:noProof/>
          <w:lang w:eastAsia="zh-CN"/>
        </w:rPr>
        <w:pict>
          <v:shape id="Picture 9" o:spid="_x0000_s1034" type="#_x0000_t75" style="position:absolute;margin-left:1.25pt;margin-top:220pt;width:285pt;height:186pt;z-index:251658752;visibility:visible">
            <v:imagedata r:id="rId20" o:title=""/>
          </v:shape>
        </w:pict>
      </w: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r>
        <w:rPr>
          <w:noProof/>
          <w:lang w:eastAsia="zh-CN"/>
        </w:rPr>
        <w:pict>
          <v:shape id="_x0000_s1035" type="#_x0000_t202" style="position:absolute;margin-left:300.05pt;margin-top:10.5pt;width:188.25pt;height:163.05pt;z-index:251660800" stroked="f">
            <v:textbox style="mso-next-textbox:#_x0000_s1035">
              <w:txbxContent>
                <w:p w:rsidR="00CC4DBD" w:rsidRDefault="00CC4DBD" w:rsidP="00C04D1E">
                  <w:r>
                    <w:rPr>
                      <w:b/>
                      <w:bCs/>
                    </w:rPr>
                    <w:t>Figure 8</w:t>
                  </w:r>
                  <w:r>
                    <w:t>. Protein synthesis at the ribosome. Sequences of codons in the mRNA are translated into sequences of amino acids in the protein, mediated by carriers called tRNA. The process stops when a stop codon (UAA or UAG or UGA) in the mRNA is read by the ribosome.</w:t>
                  </w:r>
                </w:p>
              </w:txbxContent>
            </v:textbox>
          </v:shape>
        </w:pict>
      </w: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p>
    <w:p w:rsidR="00CC4DBD" w:rsidRPr="00695221" w:rsidRDefault="00CC4DBD" w:rsidP="00695221">
      <w:pPr>
        <w:rPr>
          <w:rFonts w:cs="Calibri"/>
          <w:u w:val="single"/>
        </w:rPr>
      </w:pPr>
      <w:r w:rsidRPr="00695221">
        <w:rPr>
          <w:rFonts w:cs="Calibri"/>
          <w:i/>
          <w:u w:val="single"/>
        </w:rPr>
        <w:t>rE. coli</w:t>
      </w:r>
      <w:r w:rsidRPr="00695221">
        <w:rPr>
          <w:rFonts w:cs="Calibri"/>
          <w:u w:val="single"/>
        </w:rPr>
        <w:t xml:space="preserve"> 1.0 Strain Modification:</w:t>
      </w:r>
      <w:r w:rsidRPr="00695221">
        <w:rPr>
          <w:rFonts w:cs="Calibri"/>
        </w:rPr>
        <w:t xml:space="preserve"> The redesign of the genetic code for a laboratory strain of </w:t>
      </w:r>
      <w:r w:rsidRPr="00695221">
        <w:rPr>
          <w:rFonts w:cs="Calibri"/>
          <w:i/>
          <w:iCs/>
        </w:rPr>
        <w:t>E. coli</w:t>
      </w:r>
      <w:r w:rsidRPr="00695221">
        <w:rPr>
          <w:rFonts w:cs="Calibri"/>
        </w:rPr>
        <w:t xml:space="preserve"> is proceeding in phases.  In particular, all 314 stop TAG codons in </w:t>
      </w:r>
      <w:r w:rsidRPr="00695221">
        <w:rPr>
          <w:rFonts w:cs="Calibri"/>
          <w:i/>
          <w:iCs/>
        </w:rPr>
        <w:t>E. coli</w:t>
      </w:r>
      <w:r w:rsidRPr="00695221">
        <w:rPr>
          <w:rFonts w:cs="Calibri"/>
        </w:rPr>
        <w:t xml:space="preserve"> were replaced with stop TAA codons, with these changes distributed between several engineered strains. Upon final assembly in a single strain (nearly complete, expected in 2011) the gene that encodes for RF1 will also be deleted from the strain. Thus, no genes in </w:t>
      </w:r>
      <w:r w:rsidRPr="00695221">
        <w:rPr>
          <w:rFonts w:cs="Calibri"/>
          <w:i/>
        </w:rPr>
        <w:t>rE. coli</w:t>
      </w:r>
      <w:r w:rsidRPr="00695221">
        <w:rPr>
          <w:rFonts w:cs="Calibri"/>
        </w:rPr>
        <w:t xml:space="preserve"> 1.0 will use TAG as a stop codon to end translation, and the </w:t>
      </w:r>
      <w:r w:rsidRPr="00695221">
        <w:rPr>
          <w:rFonts w:cs="Calibri"/>
          <w:i/>
        </w:rPr>
        <w:t>rE. coli</w:t>
      </w:r>
      <w:r w:rsidRPr="00695221">
        <w:rPr>
          <w:rFonts w:cs="Calibri"/>
        </w:rPr>
        <w:t xml:space="preserve"> strain will not read TAG as a stop codon because RF1 was deleted.</w:t>
      </w:r>
    </w:p>
    <w:p w:rsidR="00CC4DBD" w:rsidRPr="00695221" w:rsidRDefault="00CC4DBD" w:rsidP="00695221">
      <w:pPr>
        <w:ind w:firstLine="720"/>
        <w:rPr>
          <w:rFonts w:cs="Calibri"/>
        </w:rPr>
      </w:pPr>
      <w:r w:rsidRPr="00695221">
        <w:rPr>
          <w:rFonts w:cs="Calibri"/>
        </w:rPr>
        <w:t xml:space="preserve">By rewriting the genome, the number of used codons is being reduced from 64 to 63. The TAG codon currently remains unused in the </w:t>
      </w:r>
      <w:r w:rsidRPr="00695221">
        <w:rPr>
          <w:rFonts w:cs="Calibri"/>
          <w:i/>
        </w:rPr>
        <w:t>rE. coli</w:t>
      </w:r>
      <w:r w:rsidRPr="00695221">
        <w:rPr>
          <w:rFonts w:cs="Calibri"/>
        </w:rPr>
        <w:t xml:space="preserve"> strain. This strain can be eventually engineered to contain a tRNA that associates the TAG codon with an existing or unnatural amino acid.</w:t>
      </w:r>
    </w:p>
    <w:p w:rsidR="00CC4DBD" w:rsidRPr="00695221" w:rsidRDefault="00CC4DBD" w:rsidP="00695221">
      <w:pPr>
        <w:ind w:firstLine="720"/>
        <w:rPr>
          <w:rFonts w:cs="Calibri"/>
        </w:rPr>
      </w:pPr>
      <w:r w:rsidRPr="00695221">
        <w:rPr>
          <w:rFonts w:cs="Calibri"/>
        </w:rPr>
        <w:t xml:space="preserve">The </w:t>
      </w:r>
      <w:r w:rsidRPr="00695221">
        <w:rPr>
          <w:rFonts w:cs="Calibri"/>
          <w:i/>
        </w:rPr>
        <w:t>rE. coli</w:t>
      </w:r>
      <w:r w:rsidRPr="00695221">
        <w:rPr>
          <w:rFonts w:cs="Calibri"/>
        </w:rPr>
        <w:t xml:space="preserve"> strain will be a step towards achieving genetic isolation from other wild organisms. The concept behind orthogonal organisms is that employing different genetic codes, will cause them to lose their ability to effectively exchange gene function. Physical DNA can still move between orthogonal organisms through horizontal gene transfer. However, because the acceptor organism uses a different genetic code than the donor organism, the DNA codes for a different sequence of amino acids in the acceptor organism. Thus, protein produced from foreign DNA is mistranslated and, thus, non-functional. </w:t>
      </w:r>
    </w:p>
    <w:p w:rsidR="00CC4DBD" w:rsidRPr="00695221" w:rsidRDefault="00CC4DBD" w:rsidP="00695221">
      <w:pPr>
        <w:ind w:firstLine="720"/>
        <w:rPr>
          <w:rFonts w:cs="Calibri"/>
        </w:rPr>
      </w:pPr>
      <w:r w:rsidRPr="00695221">
        <w:rPr>
          <w:rFonts w:cs="Calibri"/>
        </w:rPr>
        <w:t xml:space="preserve">In particular, foreign genes that contain a stop TAG codon will most likely not function in the </w:t>
      </w:r>
      <w:r w:rsidRPr="00695221">
        <w:rPr>
          <w:rFonts w:cs="Calibri"/>
          <w:i/>
        </w:rPr>
        <w:t>rE. coli</w:t>
      </w:r>
      <w:r w:rsidRPr="00695221">
        <w:rPr>
          <w:rFonts w:cs="Calibri"/>
        </w:rPr>
        <w:t xml:space="preserve"> strain. Translation of such genes does not stop at the stop codon and instead continues onto downstream sequences. The resulting proteins might misfold and be nonfunctional, and be targeted by cellular machinery for destruction (Figure 9a). </w:t>
      </w:r>
    </w:p>
    <w:p w:rsidR="00CC4DBD" w:rsidRPr="00695221" w:rsidRDefault="00CC4DBD" w:rsidP="00695221">
      <w:pPr>
        <w:ind w:firstLine="720"/>
        <w:rPr>
          <w:rFonts w:cs="Calibri"/>
        </w:rPr>
      </w:pPr>
      <w:r w:rsidRPr="00695221">
        <w:rPr>
          <w:rFonts w:cs="Calibri"/>
        </w:rPr>
        <w:t xml:space="preserve">In addition, with further engineering, genes that contain a TAG codon in the </w:t>
      </w:r>
      <w:r w:rsidRPr="00695221">
        <w:rPr>
          <w:rFonts w:cs="Calibri"/>
          <w:i/>
        </w:rPr>
        <w:t>rE. coli</w:t>
      </w:r>
      <w:r w:rsidRPr="00695221">
        <w:rPr>
          <w:rFonts w:cs="Calibri"/>
        </w:rPr>
        <w:t xml:space="preserve"> strain will not function in other wild organisms. Currently, the TAG codon is unused in the</w:t>
      </w:r>
      <w:r w:rsidRPr="00695221">
        <w:rPr>
          <w:rFonts w:cs="Calibri"/>
          <w:i/>
        </w:rPr>
        <w:t xml:space="preserve"> rE. coli</w:t>
      </w:r>
      <w:r w:rsidRPr="00695221">
        <w:rPr>
          <w:rFonts w:cs="Calibri"/>
        </w:rPr>
        <w:t xml:space="preserve"> strain. However, if the TAG codon is associated with an existing amino acid, genes that utilize that amino acid can be engineered to possess a TAG codon instead of some of their natural codons. Such modified genes will work properly in the reengineered strain but not in wild strains. Wild organisms will read the TAG codon as a stop codon, and translation will be terminated before the proteins are fully synthesized (Figure 9b). </w:t>
      </w:r>
    </w:p>
    <w:p w:rsidR="00CC4DBD" w:rsidRPr="00695221" w:rsidRDefault="00CC4DBD" w:rsidP="00695221">
      <w:pPr>
        <w:rPr>
          <w:rFonts w:cs="Calibri"/>
        </w:rPr>
      </w:pPr>
    </w:p>
    <w:p w:rsidR="00CC4DBD" w:rsidRPr="00695221" w:rsidRDefault="00CC4DBD" w:rsidP="00695221">
      <w:pPr>
        <w:jc w:val="center"/>
        <w:rPr>
          <w:rFonts w:cs="Calibri"/>
        </w:rPr>
      </w:pPr>
      <w:r w:rsidRPr="00E50FB0">
        <w:rPr>
          <w:rFonts w:cs="Calibri"/>
          <w:b/>
          <w:noProof/>
          <w:lang w:eastAsia="zh-CN"/>
        </w:rPr>
        <w:pict>
          <v:shape id="Picture 13" o:spid="_x0000_i1037" type="#_x0000_t75" alt="cid:image008.png@01CBACF8.4EACDE90" style="width:389.25pt;height:204.75pt;visibility:visible">
            <v:imagedata r:id="rId21" o:title=""/>
          </v:shape>
        </w:pict>
      </w:r>
    </w:p>
    <w:p w:rsidR="00CC4DBD" w:rsidRPr="00695221" w:rsidRDefault="00CC4DBD" w:rsidP="00695221">
      <w:pPr>
        <w:jc w:val="center"/>
        <w:rPr>
          <w:rFonts w:cs="Calibri"/>
        </w:rPr>
      </w:pPr>
    </w:p>
    <w:p w:rsidR="00CC4DBD" w:rsidRPr="00695221" w:rsidRDefault="00CC4DBD" w:rsidP="00695221">
      <w:pPr>
        <w:rPr>
          <w:rFonts w:cs="Calibri"/>
        </w:rPr>
      </w:pPr>
      <w:r w:rsidRPr="00695221">
        <w:rPr>
          <w:rFonts w:cs="Calibri"/>
        </w:rPr>
        <w:t xml:space="preserve">Use of the </w:t>
      </w:r>
      <w:r w:rsidRPr="00695221">
        <w:rPr>
          <w:rFonts w:cs="Calibri"/>
          <w:i/>
        </w:rPr>
        <w:t>rE. coli</w:t>
      </w:r>
      <w:r w:rsidRPr="00695221">
        <w:rPr>
          <w:rFonts w:cs="Calibri"/>
        </w:rPr>
        <w:t xml:space="preserve"> chassis could thus increase the safety of genetically modifying organisms. Gene transfer between engineered organisms and wild species would be limited, and orthogonal engineered species would not be able to receive augmentations such as virulence factors or antibiotic resistance from wild species. Such prevention thus reduces the chances that engineered organisms would gain undesired abilities. Orthogonal organisms could additionally be engineered to be dependent on a particular nutrient for survival and differences in genetic codes would prevent these organisms from receiving genes for nutrient-independence from wild strains.</w:t>
      </w:r>
    </w:p>
    <w:p w:rsidR="00CC4DBD" w:rsidRPr="00695221" w:rsidRDefault="00CC4DBD" w:rsidP="00695221">
      <w:pPr>
        <w:jc w:val="center"/>
        <w:rPr>
          <w:rFonts w:cs="Calibri"/>
        </w:rPr>
      </w:pPr>
    </w:p>
    <w:p w:rsidR="00CC4DBD" w:rsidRDefault="00CC4DBD" w:rsidP="00695221">
      <w:pPr>
        <w:jc w:val="center"/>
      </w:pPr>
      <w:r w:rsidRPr="00695221">
        <w:rPr>
          <w:rFonts w:cs="Calibri"/>
        </w:rPr>
        <w:t xml:space="preserve">##### END SECTION </w:t>
      </w:r>
      <w:r>
        <w:rPr>
          <w:rFonts w:cs="Calibri"/>
        </w:rPr>
        <w:t>4</w:t>
      </w:r>
      <w:r w:rsidRPr="00695221">
        <w:rPr>
          <w:rFonts w:cs="Calibri"/>
        </w:rPr>
        <w:t xml:space="preserve"> ######</w:t>
      </w:r>
      <w:r w:rsidRPr="00695221">
        <w:rPr>
          <w:rFonts w:cs="Calibri"/>
        </w:rPr>
        <w:br/>
      </w:r>
      <w:r>
        <w:br/>
      </w:r>
    </w:p>
    <w:p w:rsidR="00CC4DBD" w:rsidRDefault="00CC4DBD" w:rsidP="004A3DF4">
      <w:r>
        <w:br w:type="page"/>
      </w:r>
    </w:p>
    <w:p w:rsidR="00CC4DBD" w:rsidRPr="002639A4" w:rsidRDefault="00CC4DBD" w:rsidP="00DD7162">
      <w:pPr>
        <w:jc w:val="center"/>
        <w:rPr>
          <w:rFonts w:cs="Calibri"/>
          <w:b/>
          <w:u w:val="single"/>
        </w:rPr>
      </w:pPr>
      <w:r w:rsidRPr="002639A4">
        <w:rPr>
          <w:rFonts w:cs="Calibri"/>
          <w:b/>
          <w:u w:val="single"/>
        </w:rPr>
        <w:t xml:space="preserve">SECTION </w:t>
      </w:r>
      <w:r>
        <w:rPr>
          <w:rFonts w:cs="Calibri"/>
          <w:b/>
          <w:u w:val="single"/>
        </w:rPr>
        <w:t>5</w:t>
      </w:r>
      <w:r w:rsidRPr="002639A4">
        <w:rPr>
          <w:rFonts w:cs="Calibri"/>
          <w:b/>
          <w:u w:val="single"/>
        </w:rPr>
        <w:t>: TECHNICAL SUMMARY - BIOREMEDIATION ATRAZINE EXAMPLE</w:t>
      </w:r>
    </w:p>
    <w:p w:rsidR="00CC4DBD" w:rsidRPr="00DD7162" w:rsidRDefault="00CC4DBD" w:rsidP="00695221">
      <w:pPr>
        <w:rPr>
          <w:b/>
        </w:rPr>
      </w:pPr>
    </w:p>
    <w:p w:rsidR="00CC4DBD" w:rsidRPr="00DD7162" w:rsidRDefault="00CC4DBD" w:rsidP="00695221">
      <w:pPr>
        <w:rPr>
          <w:b/>
        </w:rPr>
      </w:pPr>
      <w:r w:rsidRPr="00DD7162">
        <w:rPr>
          <w:b/>
        </w:rPr>
        <w:t xml:space="preserve">Summary:  </w:t>
      </w:r>
      <w:r w:rsidRPr="00DD7162">
        <w:t xml:space="preserve">Atrazine is an agricultural herbicide designed for weed control; it is, unfortunately, toxic and an environmental contaminant. This herbicide is heavily used in the US (Figure 1). Atrazine can be degraded into a non-toxic chemical hydroxyatrazine by atrazine chlorohydrolase. In addition to being non-toxic, Hydroxyatrazine is better absorbed by soils than atrazine. Thus, bioremediation of atrazine to hydroxyatrazine could potentially be used to clean up soils polluted by atrazine. Emory University’s Gallivan lab announced in a 2008 article in </w:t>
      </w:r>
      <w:r w:rsidRPr="00DD7162">
        <w:rPr>
          <w:i/>
        </w:rPr>
        <w:t>Nature Chemical Biology</w:t>
      </w:r>
      <w:r w:rsidRPr="00DD7162">
        <w:t xml:space="preserve"> that they have successfully engineered an </w:t>
      </w:r>
      <w:r w:rsidRPr="00DD7162">
        <w:rPr>
          <w:i/>
        </w:rPr>
        <w:t>E. coli</w:t>
      </w:r>
      <w:r w:rsidRPr="00DD7162">
        <w:t xml:space="preserve"> strain that both moves towards atrazine concentrations and degrades atrazine by this pathway</w:t>
      </w:r>
      <w:r w:rsidRPr="00DD7162">
        <w:rPr>
          <w:rStyle w:val="CommentReference"/>
          <w:sz w:val="22"/>
          <w:szCs w:val="22"/>
        </w:rPr>
        <w:t>.</w:t>
      </w:r>
      <w:r w:rsidRPr="00DD7162">
        <w:t xml:space="preserve"> </w:t>
      </w:r>
    </w:p>
    <w:p w:rsidR="00CC4DBD" w:rsidRPr="002639A4" w:rsidRDefault="00CC4DBD" w:rsidP="00695221">
      <w:pPr>
        <w:jc w:val="center"/>
      </w:pPr>
      <w:r w:rsidRPr="00E50FB0">
        <w:rPr>
          <w:noProof/>
          <w:sz w:val="20"/>
          <w:szCs w:val="20"/>
          <w:lang w:eastAsia="zh-CN"/>
        </w:rPr>
        <w:pict>
          <v:shape id="_x0000_i1038" type="#_x0000_t75" alt="pesticide use map" style="width:310.5pt;height:282pt;visibility:visible">
            <v:imagedata r:id="rId22" o:title="" cropleft="2845f" cropright="8161f"/>
          </v:shape>
        </w:pict>
      </w:r>
      <w:r w:rsidRPr="00915E98">
        <w:rPr>
          <w:b/>
          <w:sz w:val="20"/>
          <w:szCs w:val="20"/>
        </w:rPr>
        <w:br/>
      </w:r>
      <w:r w:rsidRPr="002639A4">
        <w:t>Figure 1. USGS data on the usage of atrazine in the U.S.</w:t>
      </w:r>
    </w:p>
    <w:p w:rsidR="00CC4DBD" w:rsidRPr="00915E98" w:rsidRDefault="00CC4DBD" w:rsidP="00695221">
      <w:pPr>
        <w:rPr>
          <w:sz w:val="20"/>
          <w:szCs w:val="20"/>
        </w:rPr>
      </w:pPr>
      <w:r w:rsidRPr="00915E98">
        <w:rPr>
          <w:b/>
          <w:sz w:val="20"/>
          <w:szCs w:val="20"/>
        </w:rPr>
        <w:tab/>
      </w:r>
      <w:r w:rsidRPr="00915E98">
        <w:rPr>
          <w:sz w:val="20"/>
          <w:szCs w:val="20"/>
        </w:rPr>
        <w:t xml:space="preserve"> </w:t>
      </w:r>
    </w:p>
    <w:p w:rsidR="00CC4DBD" w:rsidRPr="00915E98" w:rsidRDefault="00CC4DBD" w:rsidP="00695221">
      <w:pPr>
        <w:rPr>
          <w:b/>
          <w:sz w:val="20"/>
          <w:szCs w:val="20"/>
        </w:rPr>
      </w:pPr>
    </w:p>
    <w:p w:rsidR="00CC4DBD" w:rsidRPr="002639A4" w:rsidRDefault="00CC4DBD" w:rsidP="00695221">
      <w:pPr>
        <w:rPr>
          <w:b/>
          <w:sz w:val="20"/>
          <w:szCs w:val="20"/>
        </w:rPr>
      </w:pPr>
      <w:r w:rsidRPr="00DD7162">
        <w:rPr>
          <w:b/>
        </w:rPr>
        <w:t xml:space="preserve">Atrazine RNA sensor: </w:t>
      </w:r>
      <w:r w:rsidRPr="00DD7162">
        <w:t>The core technology of the Gallivan lab’s programmed E. coli is the use of an engineered atrazine-dependent riboswitch. Riboswitches are RNA sequences that regulate gene expression in the presence or absence of another molecule (the ligand). Riboswitches thus effectively act as RNA sensors. The Gallivan lab created a completely novel riboswitch that activates protein translation in the presence of atrazine. In absence of the ligand, the riboswitch is folded in a configuration that hides the ribosomal binding site (RBS) (Figure 2, left). The RBS (sequence AGGUGG) is boxed in dark red in Figure 2. An exposed RBS is necessary to start translation and produce protein. In the presence of atrazine, atrazine interacts with the riboswitch such that the riboswitch folds into a different conformation that exposes the RBS (Figure 2, right). If a gene is placed downstream (in the figure, to the right) of riboswitch, the exposed RBS will induce protein production of that gene. The Gallivan lab thus created a method by which a given protein could be produced in the presence of atrazine.</w:t>
      </w:r>
    </w:p>
    <w:p w:rsidR="00CC4DBD" w:rsidRPr="00915E98" w:rsidRDefault="00CC4DBD" w:rsidP="00695221">
      <w:pPr>
        <w:rPr>
          <w:sz w:val="20"/>
          <w:szCs w:val="20"/>
        </w:rPr>
      </w:pPr>
      <w:r>
        <w:rPr>
          <w:noProof/>
          <w:lang w:eastAsia="zh-CN"/>
        </w:rPr>
        <w:pict>
          <v:rect id="_x0000_s1036" style="position:absolute;margin-left:108.75pt;margin-top:12.7pt;width:6.75pt;height:54pt;z-index:251662848" fillcolor="red" strokecolor="#c00000" strokeweight="1pt">
            <v:fill opacity="6554f"/>
          </v:rect>
        </w:pict>
      </w:r>
      <w:r>
        <w:rPr>
          <w:noProof/>
          <w:lang w:eastAsia="zh-CN"/>
        </w:rPr>
        <w:pict>
          <v:rect id="_x0000_s1037" style="position:absolute;margin-left:338.25pt;margin-top:159.7pt;width:32.25pt;height:48pt;z-index:251661824" fillcolor="red" strokecolor="#c00000" strokeweight="1.5pt">
            <v:fill opacity="6554f"/>
          </v:rect>
        </w:pict>
      </w:r>
      <w:r w:rsidRPr="00915E98">
        <w:rPr>
          <w:sz w:val="20"/>
          <w:szCs w:val="20"/>
        </w:rPr>
        <w:tab/>
      </w:r>
      <w:r w:rsidRPr="00E50FB0">
        <w:rPr>
          <w:noProof/>
          <w:sz w:val="20"/>
          <w:szCs w:val="20"/>
          <w:lang w:eastAsia="zh-CN"/>
        </w:rPr>
        <w:pict>
          <v:shape id="Picture 4" o:spid="_x0000_i1039" type="#_x0000_t75" style="width:390.75pt;height:242.25pt;visibility:visible" filled="t" fillcolor="#4f81bd">
            <v:fill opacity="0"/>
            <v:imagedata r:id="rId23" o:title=""/>
          </v:shape>
        </w:pict>
      </w:r>
    </w:p>
    <w:p w:rsidR="00CC4DBD" w:rsidRPr="00DD7162" w:rsidRDefault="00CC4DBD" w:rsidP="00695221">
      <w:r w:rsidRPr="00DD7162">
        <w:t>Figure 2. Exposure of RBS in the riboswitch depends on the presence or absence of atrazine.</w:t>
      </w:r>
    </w:p>
    <w:p w:rsidR="00CC4DBD" w:rsidRDefault="00CC4DBD" w:rsidP="00695221"/>
    <w:p w:rsidR="00CC4DBD" w:rsidRPr="00DD7162" w:rsidRDefault="00CC4DBD" w:rsidP="00695221">
      <w:r w:rsidRPr="00DD7162">
        <w:t xml:space="preserve">To test the riboswitch, a </w:t>
      </w:r>
      <w:r w:rsidRPr="00DD7162">
        <w:rPr>
          <w:i/>
        </w:rPr>
        <w:t xml:space="preserve">lacZ </w:t>
      </w:r>
      <w:r w:rsidRPr="00DD7162">
        <w:t>gene was placed downstream of the riboswitch. Presence of LacZ can be measured in Miller units, a unit of concentration. Figure 3 shows the amount of LacZ produced as a function of the ligand (atrazine or hydroxyatrazine). Black circles represent the amount of LacZ produced in the presence of varying amount of atrazine, and white squares represent the amount of LacZ produced in the presence of varying amounts of hydroxyatrazine, atrazine’s degradation product. Increased concentration of atrazine increases LacZ production, whereas hydroxyatrazine does not affect LacZ production. Thus, the riboswitch is sensitive to atrazine, but not to its degradation product, hydroxyatrazine.</w:t>
      </w:r>
    </w:p>
    <w:p w:rsidR="00CC4DBD" w:rsidRPr="00DD7162" w:rsidRDefault="00CC4DBD" w:rsidP="00695221">
      <w:pPr>
        <w:jc w:val="center"/>
      </w:pPr>
      <w:r w:rsidRPr="00882C98">
        <w:rPr>
          <w:noProof/>
          <w:lang w:eastAsia="zh-CN"/>
        </w:rPr>
        <w:pict>
          <v:shape id="_x0000_i1040" type="#_x0000_t75" style="width:246pt;height:171pt;visibility:visible">
            <v:imagedata r:id="rId24" o:title=""/>
          </v:shape>
        </w:pict>
      </w:r>
      <w:r w:rsidRPr="00915E98">
        <w:rPr>
          <w:sz w:val="20"/>
          <w:szCs w:val="20"/>
        </w:rPr>
        <w:br/>
      </w:r>
      <w:r w:rsidRPr="00DD7162">
        <w:t xml:space="preserve">Figure 3. Riboswitch dependence on atrazine and independence from hydroxyatrazine. </w:t>
      </w:r>
    </w:p>
    <w:p w:rsidR="00CC4DBD" w:rsidRPr="00DD7162" w:rsidRDefault="00CC4DBD" w:rsidP="00695221">
      <w:pPr>
        <w:rPr>
          <w:b/>
        </w:rPr>
      </w:pPr>
    </w:p>
    <w:p w:rsidR="00CC4DBD" w:rsidRDefault="00CC4DBD" w:rsidP="00695221">
      <w:r w:rsidRPr="00DD7162">
        <w:t xml:space="preserve">To program atrazine-dependent mobility, the </w:t>
      </w:r>
      <w:r w:rsidRPr="00DD7162">
        <w:rPr>
          <w:i/>
        </w:rPr>
        <w:t>cheZ</w:t>
      </w:r>
      <w:r w:rsidRPr="00DD7162">
        <w:t xml:space="preserve"> gene was placed downstream of the ribosome. CheZ is required by </w:t>
      </w:r>
      <w:r w:rsidRPr="00DD7162">
        <w:rPr>
          <w:i/>
        </w:rPr>
        <w:t>E. coli</w:t>
      </w:r>
      <w:r w:rsidRPr="00DD7162">
        <w:t xml:space="preserve"> for directed traveling. Absence of CheZ prevents the bacteria from moving. The naturally occurring </w:t>
      </w:r>
      <w:r w:rsidRPr="00DD7162">
        <w:rPr>
          <w:i/>
        </w:rPr>
        <w:t>cheZ</w:t>
      </w:r>
      <w:r w:rsidRPr="00DD7162">
        <w:t xml:space="preserve"> gene in the Gallivan bacteria was deleted, and a plasmid containing the </w:t>
      </w:r>
      <w:r w:rsidRPr="00DD7162">
        <w:rPr>
          <w:i/>
        </w:rPr>
        <w:t>cheZ</w:t>
      </w:r>
      <w:r w:rsidRPr="00DD7162">
        <w:t xml:space="preserve"> gene with an upstream riboswitch inserted into the bacteria. Thus, only in the presence of atrazine is CheZ produced and movement of the bacteria occurs.</w:t>
      </w:r>
    </w:p>
    <w:p w:rsidR="00CC4DBD" w:rsidRPr="00DD7162" w:rsidRDefault="00CC4DBD" w:rsidP="00695221"/>
    <w:p w:rsidR="00CC4DBD" w:rsidRPr="002639A4" w:rsidRDefault="00CC4DBD" w:rsidP="00695221">
      <w:pPr>
        <w:rPr>
          <w:b/>
        </w:rPr>
      </w:pPr>
      <w:r w:rsidRPr="00DD7162">
        <w:rPr>
          <w:b/>
        </w:rPr>
        <w:t>Atrazine-dependent mobility</w:t>
      </w:r>
      <w:r>
        <w:rPr>
          <w:b/>
        </w:rPr>
        <w:t xml:space="preserve">:  </w:t>
      </w:r>
      <w:r w:rsidRPr="00DD7162">
        <w:t xml:space="preserve">Figure 4 from the Gallivan lab shows the increased mobility of the engineered bacteria in the presence of atrazine. A single colony of the Gallivan </w:t>
      </w:r>
      <w:r w:rsidRPr="00DD7162">
        <w:rPr>
          <w:i/>
        </w:rPr>
        <w:t>E. coli</w:t>
      </w:r>
      <w:r w:rsidRPr="00DD7162">
        <w:t xml:space="preserve"> was plated at the center of a 85 mm Petri dish and grown for 16 hours in the absence and presence of atrazine. In the absence of atrazine, the cells were immobile. In the presence of atrazine, cells migrated away from the center, leading to the appearance of a fuzzy radius. Figure 5 shows the migration radii of Gallivan bacteria on the dish as a function of time. White circles represent the distance traveled by the bacteria in the absence of atrazine. Black circles represent the distanced traveled in the presence of atrazine.</w:t>
      </w:r>
    </w:p>
    <w:p w:rsidR="00CC4DBD" w:rsidRPr="00915E98" w:rsidRDefault="00CC4DBD" w:rsidP="00695221">
      <w:pPr>
        <w:tabs>
          <w:tab w:val="left" w:pos="270"/>
          <w:tab w:val="left" w:pos="5130"/>
        </w:tabs>
        <w:rPr>
          <w:sz w:val="20"/>
          <w:szCs w:val="20"/>
        </w:rPr>
      </w:pPr>
      <w:r w:rsidRPr="00E50FB0">
        <w:rPr>
          <w:noProof/>
          <w:sz w:val="20"/>
          <w:szCs w:val="20"/>
          <w:lang w:eastAsia="zh-CN"/>
        </w:rPr>
        <w:pict>
          <v:shape id="Picture 17" o:spid="_x0000_i1041" type="#_x0000_t75" style="width:211.5pt;height:134.25pt;visibility:visible">
            <v:imagedata r:id="rId25" o:title=""/>
          </v:shape>
        </w:pict>
      </w:r>
      <w:r w:rsidRPr="00915E98">
        <w:rPr>
          <w:sz w:val="20"/>
          <w:szCs w:val="20"/>
        </w:rPr>
        <w:t xml:space="preserve">         </w:t>
      </w:r>
      <w:r w:rsidRPr="00E50FB0">
        <w:rPr>
          <w:noProof/>
          <w:sz w:val="20"/>
          <w:szCs w:val="20"/>
          <w:lang w:eastAsia="zh-CN"/>
        </w:rPr>
        <w:pict>
          <v:shape id="Picture 18" o:spid="_x0000_i1042" type="#_x0000_t75" style="width:215.25pt;height:180pt;visibility:visible">
            <v:imagedata r:id="rId26" o:title=""/>
          </v:shape>
        </w:pict>
      </w:r>
    </w:p>
    <w:p w:rsidR="00CC4DBD" w:rsidRPr="00915E98" w:rsidRDefault="00CC4DBD" w:rsidP="00695221">
      <w:pPr>
        <w:tabs>
          <w:tab w:val="left" w:pos="270"/>
          <w:tab w:val="left" w:pos="5130"/>
        </w:tabs>
        <w:rPr>
          <w:sz w:val="20"/>
          <w:szCs w:val="20"/>
        </w:rPr>
      </w:pPr>
      <w:r w:rsidRPr="00915E98">
        <w:rPr>
          <w:sz w:val="20"/>
          <w:szCs w:val="20"/>
        </w:rPr>
        <w:tab/>
        <w:t>Figure 4. Atrazine-dependent mobility.</w:t>
      </w:r>
      <w:r w:rsidRPr="00915E98">
        <w:rPr>
          <w:sz w:val="20"/>
          <w:szCs w:val="20"/>
        </w:rPr>
        <w:tab/>
        <w:t>Figure 5. Distance as a function of time.</w:t>
      </w:r>
    </w:p>
    <w:p w:rsidR="00CC4DBD" w:rsidRDefault="00CC4DBD" w:rsidP="00695221">
      <w:pPr>
        <w:rPr>
          <w:b/>
          <w:sz w:val="20"/>
          <w:szCs w:val="20"/>
        </w:rPr>
      </w:pPr>
    </w:p>
    <w:p w:rsidR="00CC4DBD" w:rsidRPr="002639A4" w:rsidRDefault="00CC4DBD" w:rsidP="00695221">
      <w:r w:rsidRPr="002639A4">
        <w:rPr>
          <w:b/>
        </w:rPr>
        <w:t>Atrazine chlorohydrolase</w:t>
      </w:r>
      <w:r>
        <w:rPr>
          <w:b/>
        </w:rPr>
        <w:t xml:space="preserve">: </w:t>
      </w:r>
      <w:r w:rsidRPr="002639A4">
        <w:t xml:space="preserve">The enzyme atrazine chlorohydrolase (AtzA) is native to the bacteria </w:t>
      </w:r>
      <w:r w:rsidRPr="002639A4">
        <w:rPr>
          <w:i/>
        </w:rPr>
        <w:t>Pseudomonas</w:t>
      </w:r>
      <w:r w:rsidRPr="002639A4">
        <w:t xml:space="preserve"> sp. ADP and converts atrazine to hydroxyatrazine, the non-toxic chemical discussed in the summary. AtzA has narrow substrate-specificity and is able to react only on atrazine or an analog with a fluorine atom in place of the chlorine atom. AtzA is part of a family of atrazine-catabolism (atrazine breakdown) genes that convert atrazine to its end product, cyanuric acid. These genes have been found to be found across </w:t>
      </w:r>
      <w:r w:rsidRPr="002639A4">
        <w:rPr>
          <w:i/>
        </w:rPr>
        <w:t>Pseudomonas</w:t>
      </w:r>
      <w:r w:rsidRPr="002639A4">
        <w:t xml:space="preserve"> sp. ADP isolated in North America, Europe, Australia, and Asia. These three genes naturally exist on a plasmid named pADP-1 which can be transferred to other species, including </w:t>
      </w:r>
      <w:r w:rsidRPr="002639A4">
        <w:rPr>
          <w:i/>
        </w:rPr>
        <w:t xml:space="preserve">E. </w:t>
      </w:r>
      <w:r w:rsidRPr="002639A4">
        <w:t xml:space="preserve">coli. pADP-1 also encodes genes involved in mercury catabolism. In pADP-1, </w:t>
      </w:r>
      <w:r w:rsidRPr="002639A4">
        <w:rPr>
          <w:i/>
        </w:rPr>
        <w:t>atzA</w:t>
      </w:r>
      <w:r w:rsidRPr="002639A4">
        <w:t xml:space="preserve">, </w:t>
      </w:r>
      <w:r w:rsidRPr="002639A4">
        <w:rPr>
          <w:i/>
        </w:rPr>
        <w:t>atzB</w:t>
      </w:r>
      <w:r w:rsidRPr="002639A4">
        <w:t xml:space="preserve">, and </w:t>
      </w:r>
      <w:r w:rsidRPr="002639A4">
        <w:rPr>
          <w:i/>
        </w:rPr>
        <w:t xml:space="preserve">atzC </w:t>
      </w:r>
      <w:r w:rsidRPr="002639A4">
        <w:t xml:space="preserve"> are flanked by transposon “jumping genes,” which can move the flanked gene to new locations in the genome. </w:t>
      </w:r>
    </w:p>
    <w:p w:rsidR="00CC4DBD" w:rsidRDefault="00CC4DBD" w:rsidP="00695221">
      <w:pPr>
        <w:jc w:val="center"/>
        <w:rPr>
          <w:sz w:val="20"/>
          <w:szCs w:val="20"/>
        </w:rPr>
      </w:pPr>
      <w:r>
        <w:rPr>
          <w:noProof/>
          <w:lang w:eastAsia="zh-CN"/>
        </w:rPr>
        <w:pict>
          <v:shape id="_x0000_s1038" type="#_x0000_t32" style="position:absolute;left:0;text-align:left;margin-left:220.5pt;margin-top:40.4pt;width:27pt;height:0;z-index:251663872" o:connectortype="straight">
            <v:stroke endarrow="block"/>
          </v:shape>
        </w:pict>
      </w:r>
      <w:r w:rsidRPr="00E50FB0">
        <w:rPr>
          <w:noProof/>
          <w:sz w:val="20"/>
          <w:szCs w:val="20"/>
          <w:lang w:eastAsia="zh-CN"/>
        </w:rPr>
        <w:pict>
          <v:shape id="_x0000_i1043" type="#_x0000_t75" style="width:465pt;height:67.5pt;visibility:visible">
            <v:imagedata r:id="rId27" o:title=""/>
          </v:shape>
        </w:pict>
      </w:r>
      <w:r w:rsidRPr="00915E98">
        <w:rPr>
          <w:sz w:val="20"/>
          <w:szCs w:val="20"/>
        </w:rPr>
        <w:br/>
        <w:t>Figure 6. Natural conversion of atrazine by</w:t>
      </w:r>
      <w:r w:rsidRPr="00915E98">
        <w:rPr>
          <w:i/>
          <w:sz w:val="20"/>
          <w:szCs w:val="20"/>
        </w:rPr>
        <w:t xml:space="preserve"> Pseudomonas</w:t>
      </w:r>
      <w:r w:rsidRPr="00915E98">
        <w:rPr>
          <w:sz w:val="20"/>
          <w:szCs w:val="20"/>
        </w:rPr>
        <w:t xml:space="preserve"> sp. ADP.</w:t>
      </w:r>
    </w:p>
    <w:p w:rsidR="00CC4DBD" w:rsidRPr="00915E98" w:rsidRDefault="00CC4DBD" w:rsidP="00695221">
      <w:pPr>
        <w:jc w:val="center"/>
        <w:rPr>
          <w:sz w:val="20"/>
          <w:szCs w:val="20"/>
        </w:rPr>
      </w:pPr>
    </w:p>
    <w:p w:rsidR="00CC4DBD" w:rsidRPr="00DD7162" w:rsidRDefault="00CC4DBD" w:rsidP="00DD7162">
      <w:r w:rsidRPr="00DD7162">
        <w:t xml:space="preserve">Dead recombinant </w:t>
      </w:r>
      <w:r w:rsidRPr="00DD7162">
        <w:rPr>
          <w:i/>
        </w:rPr>
        <w:t>E. coli</w:t>
      </w:r>
      <w:r w:rsidRPr="00DD7162">
        <w:t xml:space="preserve"> strains containing AtzA have been previously chemically bonded to catalyst particles to remediate soils contaminated with atrazine. In 2000, a study on atrazine bioremediation was conducted on 35 cubic yards of soil that had been contaminated by a roadside spill of 1,000 pounds of atrazine. 17 kg of recombinant </w:t>
      </w:r>
      <w:r w:rsidRPr="00DD7162">
        <w:rPr>
          <w:i/>
        </w:rPr>
        <w:t>E. coli</w:t>
      </w:r>
      <w:r w:rsidRPr="00DD7162">
        <w:t xml:space="preserve"> expressing AtzA were grown, killed, and then crossed-linked to catalyst particles (thus made equivalent to a catalytic particle in the view of the regulatory agency at the time). The soil was split into four groups (Figure 7), and over 8 weeks, the atrazine concentration decreased by 52% and 77% in soil treated with the catalytic particle and catalytic particle with phosphate, respectively. Soil treated with just water or phosphate did not have significant reductions in atrazine. Phosphate was found to help the bioremediation because the soil was low in phosphorous. This limited the growth and metabolism of indigenous bacteria, which </w:t>
      </w:r>
      <w:r>
        <w:t>in turn may have inhibited bioremediation</w:t>
      </w:r>
      <w:r w:rsidRPr="00DD7162">
        <w:t>.</w:t>
      </w:r>
    </w:p>
    <w:p w:rsidR="00CC4DBD" w:rsidRPr="00915E98" w:rsidRDefault="00CC4DBD" w:rsidP="00695221">
      <w:pPr>
        <w:ind w:firstLine="720"/>
        <w:jc w:val="center"/>
        <w:rPr>
          <w:sz w:val="20"/>
          <w:szCs w:val="20"/>
        </w:rPr>
      </w:pPr>
    </w:p>
    <w:p w:rsidR="00CC4DBD" w:rsidRPr="00915E98" w:rsidRDefault="00CC4DBD" w:rsidP="00695221">
      <w:pPr>
        <w:ind w:firstLine="720"/>
        <w:jc w:val="center"/>
        <w:rPr>
          <w:sz w:val="20"/>
          <w:szCs w:val="20"/>
        </w:rPr>
      </w:pPr>
      <w:r w:rsidRPr="00E50FB0">
        <w:rPr>
          <w:noProof/>
          <w:sz w:val="20"/>
          <w:szCs w:val="20"/>
          <w:lang w:eastAsia="zh-CN"/>
        </w:rPr>
        <w:pict>
          <v:shape id="_x0000_i1044" type="#_x0000_t75" style="width:242.25pt;height:159pt;visibility:visible">
            <v:imagedata r:id="rId28" o:title=""/>
          </v:shape>
        </w:pict>
      </w:r>
    </w:p>
    <w:p w:rsidR="00CC4DBD" w:rsidRPr="00DD7162" w:rsidRDefault="00CC4DBD" w:rsidP="00695221">
      <w:pPr>
        <w:ind w:firstLine="720"/>
        <w:jc w:val="center"/>
      </w:pPr>
      <w:r w:rsidRPr="00DD7162">
        <w:t>Figure 7. Study on bioremediation of atrazine.</w:t>
      </w:r>
    </w:p>
    <w:p w:rsidR="00CC4DBD" w:rsidRDefault="00CC4DBD" w:rsidP="002639A4">
      <w:pPr>
        <w:rPr>
          <w:b/>
        </w:rPr>
      </w:pPr>
    </w:p>
    <w:p w:rsidR="00CC4DBD" w:rsidRPr="002639A4" w:rsidRDefault="00CC4DBD" w:rsidP="002639A4">
      <w:pPr>
        <w:rPr>
          <w:b/>
        </w:rPr>
      </w:pPr>
      <w:r w:rsidRPr="00DD7162">
        <w:rPr>
          <w:b/>
        </w:rPr>
        <w:t>Degrading atrazine:</w:t>
      </w:r>
      <w:r>
        <w:rPr>
          <w:b/>
        </w:rPr>
        <w:t xml:space="preserve"> </w:t>
      </w:r>
      <w:r w:rsidRPr="00DD7162">
        <w:t xml:space="preserve">In addition to programming to cells to move only in the presence of atrazine, the Gallivan lab inserted </w:t>
      </w:r>
      <w:r w:rsidRPr="00DD7162">
        <w:rPr>
          <w:i/>
        </w:rPr>
        <w:t>atzA</w:t>
      </w:r>
      <w:r w:rsidRPr="00DD7162">
        <w:t xml:space="preserve"> into the cell. The bacteria thus continuously produce AtzA. A green fluorescent protein (GFP) was also inserted into the cells to give the bacteria a green color under a fluorescent microscope. Figure 8 depicts the Gallivan bacteria plated at the center of a Petri dish containing agar with atrazine and incubated overnight. Figure 8 (left) shows the bacteria with </w:t>
      </w:r>
      <w:r w:rsidRPr="00DD7162">
        <w:rPr>
          <w:i/>
        </w:rPr>
        <w:t>cheZ</w:t>
      </w:r>
      <w:r w:rsidRPr="00DD7162">
        <w:t xml:space="preserve"> under the control of the riboswitch, but without </w:t>
      </w:r>
      <w:r w:rsidRPr="00DD7162">
        <w:rPr>
          <w:i/>
        </w:rPr>
        <w:t>atzA.</w:t>
      </w:r>
      <w:r w:rsidRPr="00DD7162">
        <w:t xml:space="preserve"> Figure 8 (right) shows the bacteria with </w:t>
      </w:r>
      <w:r w:rsidRPr="00DD7162">
        <w:rPr>
          <w:i/>
        </w:rPr>
        <w:t xml:space="preserve">cheZ </w:t>
      </w:r>
      <w:r w:rsidRPr="00DD7162">
        <w:t xml:space="preserve">under the control of the riboswitch and with </w:t>
      </w:r>
      <w:r w:rsidRPr="00DD7162">
        <w:rPr>
          <w:i/>
        </w:rPr>
        <w:t>atzA</w:t>
      </w:r>
      <w:r w:rsidRPr="00DD7162">
        <w:t xml:space="preserve">. Ring patterns are seen because degradation of atrazine by bacteria at the edge of the ring depletes the concentration of atrazine, such that bacteria closer to the center can no longer pass through the zone of depletion. Thus, the Gallivan </w:t>
      </w:r>
      <w:r w:rsidRPr="00DD7162">
        <w:rPr>
          <w:i/>
        </w:rPr>
        <w:t>E. coli</w:t>
      </w:r>
      <w:r w:rsidRPr="00DD7162">
        <w:t xml:space="preserve"> has been programmed to move in the presence of atrazine and degrade atrazine to hydroxyatrazine, creating engineered bacteria that can bioremediate atrazine.</w:t>
      </w:r>
    </w:p>
    <w:p w:rsidR="00CC4DBD" w:rsidRPr="00915E98" w:rsidRDefault="00CC4DBD" w:rsidP="00695221">
      <w:pPr>
        <w:ind w:firstLine="720"/>
        <w:jc w:val="center"/>
        <w:rPr>
          <w:sz w:val="20"/>
          <w:szCs w:val="20"/>
        </w:rPr>
      </w:pPr>
      <w:r w:rsidRPr="00E50FB0">
        <w:rPr>
          <w:noProof/>
          <w:sz w:val="20"/>
          <w:szCs w:val="20"/>
          <w:lang w:eastAsia="zh-CN"/>
        </w:rPr>
        <w:pict>
          <v:shape id="Picture 19" o:spid="_x0000_i1045" type="#_x0000_t75" style="width:113.25pt;height:113.25pt;visibility:visible">
            <v:imagedata r:id="rId29" o:title=""/>
          </v:shape>
        </w:pict>
      </w:r>
      <w:r w:rsidRPr="00915E98">
        <w:rPr>
          <w:sz w:val="20"/>
          <w:szCs w:val="20"/>
        </w:rPr>
        <w:t xml:space="preserve">            </w:t>
      </w:r>
      <w:r w:rsidRPr="00E50FB0">
        <w:rPr>
          <w:noProof/>
          <w:sz w:val="20"/>
          <w:szCs w:val="20"/>
          <w:lang w:eastAsia="zh-CN"/>
        </w:rPr>
        <w:pict>
          <v:shape id="Picture 20" o:spid="_x0000_i1046" type="#_x0000_t75" style="width:119.25pt;height:113.25pt;visibility:visible">
            <v:imagedata r:id="rId30" o:title=""/>
          </v:shape>
        </w:pict>
      </w:r>
    </w:p>
    <w:p w:rsidR="00CC4DBD" w:rsidRPr="00DD7162" w:rsidRDefault="00CC4DBD" w:rsidP="00695221">
      <w:pPr>
        <w:ind w:firstLine="720"/>
        <w:jc w:val="center"/>
      </w:pPr>
      <w:r w:rsidRPr="00DD7162">
        <w:t>Figure 8. Gallivan bacteria without atzA (left) and with atzA (right).</w:t>
      </w:r>
    </w:p>
    <w:p w:rsidR="00CC4DBD" w:rsidRPr="00695221" w:rsidRDefault="00CC4DBD" w:rsidP="00695221">
      <w:pPr>
        <w:rPr>
          <w:rFonts w:cs="Calibri"/>
          <w:b/>
          <w:sz w:val="20"/>
          <w:szCs w:val="20"/>
        </w:rPr>
      </w:pPr>
    </w:p>
    <w:p w:rsidR="00CC4DBD" w:rsidRDefault="00CC4DBD" w:rsidP="002639A4">
      <w:pPr>
        <w:jc w:val="center"/>
        <w:rPr>
          <w:rFonts w:cs="Calibri"/>
          <w:b/>
          <w:sz w:val="20"/>
          <w:szCs w:val="20"/>
        </w:rPr>
      </w:pPr>
    </w:p>
    <w:p w:rsidR="00CC4DBD" w:rsidRDefault="00CC4DBD" w:rsidP="002639A4">
      <w:pPr>
        <w:jc w:val="center"/>
        <w:rPr>
          <w:rFonts w:cs="Calibri"/>
          <w:b/>
          <w:sz w:val="20"/>
          <w:szCs w:val="20"/>
        </w:rPr>
      </w:pPr>
    </w:p>
    <w:p w:rsidR="00CC4DBD" w:rsidRDefault="00CC4DBD" w:rsidP="002639A4">
      <w:pPr>
        <w:jc w:val="center"/>
        <w:rPr>
          <w:rFonts w:cs="Calibri"/>
          <w:b/>
          <w:sz w:val="20"/>
          <w:szCs w:val="20"/>
        </w:rPr>
      </w:pPr>
    </w:p>
    <w:p w:rsidR="00CC4DBD" w:rsidRDefault="00CC4DBD" w:rsidP="002639A4">
      <w:pPr>
        <w:jc w:val="center"/>
        <w:rPr>
          <w:rFonts w:cs="Calibri"/>
          <w:b/>
          <w:sz w:val="20"/>
          <w:szCs w:val="20"/>
        </w:rPr>
      </w:pPr>
    </w:p>
    <w:p w:rsidR="00CC4DBD" w:rsidRDefault="00CC4DBD" w:rsidP="002639A4">
      <w:pPr>
        <w:jc w:val="center"/>
        <w:rPr>
          <w:rFonts w:cs="Calibri"/>
          <w:b/>
          <w:sz w:val="20"/>
          <w:szCs w:val="20"/>
        </w:rPr>
      </w:pPr>
    </w:p>
    <w:p w:rsidR="00CC4DBD" w:rsidRDefault="00CC4DBD" w:rsidP="002639A4">
      <w:pPr>
        <w:jc w:val="center"/>
        <w:rPr>
          <w:rFonts w:cs="Calibri"/>
          <w:b/>
          <w:sz w:val="20"/>
          <w:szCs w:val="20"/>
        </w:rPr>
      </w:pPr>
      <w:r>
        <w:rPr>
          <w:rFonts w:cs="Calibri"/>
          <w:b/>
          <w:sz w:val="20"/>
          <w:szCs w:val="20"/>
        </w:rPr>
        <w:t>#### END SECTION 5 ON JM 109 AND RE.COLI CHASSIS ####</w:t>
      </w:r>
    </w:p>
    <w:p w:rsidR="00CC4DBD" w:rsidRDefault="00CC4DBD" w:rsidP="002639A4">
      <w:pPr>
        <w:jc w:val="center"/>
        <w:rPr>
          <w:rFonts w:cs="Calibri"/>
          <w:b/>
          <w:sz w:val="20"/>
          <w:szCs w:val="20"/>
        </w:rPr>
      </w:pPr>
    </w:p>
    <w:p w:rsidR="00CC4DBD" w:rsidRDefault="00CC4DBD" w:rsidP="002639A4">
      <w:pPr>
        <w:jc w:val="center"/>
        <w:rPr>
          <w:rFonts w:cs="Calibri"/>
          <w:b/>
          <w:sz w:val="20"/>
          <w:szCs w:val="20"/>
        </w:rPr>
      </w:pPr>
    </w:p>
    <w:p w:rsidR="00CC4DBD" w:rsidRDefault="00CC4DBD" w:rsidP="00084549">
      <w:pPr>
        <w:jc w:val="center"/>
        <w:rPr>
          <w:rFonts w:cs="Calibri"/>
          <w:b/>
        </w:rPr>
      </w:pPr>
      <w:r>
        <w:rPr>
          <w:rFonts w:cs="Calibri"/>
          <w:b/>
          <w:sz w:val="20"/>
          <w:szCs w:val="20"/>
        </w:rPr>
        <w:br w:type="page"/>
      </w:r>
      <w:r>
        <w:rPr>
          <w:rFonts w:cs="Calibri"/>
          <w:b/>
        </w:rPr>
        <w:t>SECTION 6: REVIEW ESSAY – BIOREMEDIATION OF PETROLEUM</w:t>
      </w:r>
    </w:p>
    <w:p w:rsidR="00CC4DBD" w:rsidRDefault="00CC4DBD" w:rsidP="00084549">
      <w:pPr>
        <w:jc w:val="center"/>
        <w:rPr>
          <w:rFonts w:cs="Calibri"/>
          <w:b/>
        </w:rPr>
      </w:pPr>
    </w:p>
    <w:p w:rsidR="00CC4DBD" w:rsidRDefault="00CC4DBD" w:rsidP="00084549">
      <w:pPr>
        <w:jc w:val="center"/>
        <w:rPr>
          <w:rFonts w:cs="Calibri"/>
        </w:rPr>
      </w:pPr>
      <w:r w:rsidRPr="007F6CDE">
        <w:rPr>
          <w:rFonts w:cs="Calibri"/>
        </w:rPr>
        <w:t>BIOREMEDIATION OF OIL</w:t>
      </w:r>
      <w:r w:rsidRPr="007F6CDE">
        <w:rPr>
          <w:rStyle w:val="FootnoteReference"/>
          <w:rFonts w:cs="Calibri"/>
        </w:rPr>
        <w:footnoteReference w:id="2"/>
      </w:r>
      <w:r w:rsidRPr="007F6CDE">
        <w:rPr>
          <w:rFonts w:cs="Calibri"/>
        </w:rPr>
        <w:t xml:space="preserve"> SPILLS AND DISCHARGES</w:t>
      </w:r>
    </w:p>
    <w:p w:rsidR="00CC4DBD" w:rsidRPr="007F6CDE" w:rsidRDefault="00CC4DBD" w:rsidP="00084549">
      <w:pPr>
        <w:jc w:val="center"/>
        <w:rPr>
          <w:rFonts w:cs="Calibri"/>
        </w:rPr>
      </w:pPr>
      <w:r>
        <w:rPr>
          <w:rFonts w:cs="Calibri"/>
        </w:rPr>
        <w:t xml:space="preserve">PRELIMINARY THOUGHTS ON WHAT </w:t>
      </w:r>
      <w:r w:rsidRPr="007F6CDE">
        <w:rPr>
          <w:rFonts w:cs="Calibri"/>
        </w:rPr>
        <w:t xml:space="preserve">SYNTHETIC BIOLOGY </w:t>
      </w:r>
      <w:r>
        <w:rPr>
          <w:rFonts w:cs="Calibri"/>
        </w:rPr>
        <w:t>CAN DO</w:t>
      </w:r>
    </w:p>
    <w:p w:rsidR="00CC4DBD" w:rsidRDefault="00CC4DBD" w:rsidP="00084549">
      <w:pPr>
        <w:jc w:val="center"/>
        <w:rPr>
          <w:rFonts w:cs="Calibri"/>
        </w:rPr>
      </w:pPr>
      <w:r w:rsidRPr="007F6CDE">
        <w:rPr>
          <w:rFonts w:cs="Calibri"/>
        </w:rPr>
        <w:t xml:space="preserve">SCOTT C. MOHR   </w:t>
      </w:r>
      <w:r>
        <w:rPr>
          <w:rFonts w:cs="Calibri"/>
        </w:rPr>
        <w:t xml:space="preserve">BOSTON UNIVERSITY  </w:t>
      </w:r>
      <w:r w:rsidRPr="007F6CDE">
        <w:rPr>
          <w:rFonts w:cs="Calibri"/>
        </w:rPr>
        <w:t>JANUARY 6, 2011</w:t>
      </w:r>
    </w:p>
    <w:p w:rsidR="00CC4DBD" w:rsidRPr="005309F5" w:rsidRDefault="00CC4DBD" w:rsidP="00084549">
      <w:pPr>
        <w:rPr>
          <w:rFonts w:cs="Calibri"/>
          <w:sz w:val="6"/>
          <w:szCs w:val="6"/>
        </w:rPr>
      </w:pPr>
    </w:p>
    <w:p w:rsidR="00CC4DBD" w:rsidRDefault="00CC4DBD">
      <w:pPr>
        <w:jc w:val="both"/>
        <w:rPr>
          <w:rFonts w:cs="Calibri"/>
        </w:rPr>
      </w:pPr>
      <w:r>
        <w:rPr>
          <w:rFonts w:cs="Calibri"/>
        </w:rPr>
        <w:t>This review essay proceeds in two parts.   First, it considers bioremediation of natural discharges and spills of petroleum by wild types as a baseline against which to discuss engineered strains. Second, it considers bioremediation by organisms that have been redesigned through directed evolution and synthetic biology.  It identifies aspects of bioremediation t</w:t>
      </w:r>
      <w:r w:rsidRPr="007F6CDE">
        <w:rPr>
          <w:rFonts w:cs="Calibri"/>
        </w:rPr>
        <w:t xml:space="preserve">hat </w:t>
      </w:r>
      <w:r>
        <w:rPr>
          <w:rFonts w:cs="Calibri"/>
        </w:rPr>
        <w:t>synthetic biology may</w:t>
      </w:r>
      <w:r w:rsidRPr="00634DB0">
        <w:rPr>
          <w:rFonts w:cs="Calibri"/>
        </w:rPr>
        <w:t xml:space="preserve"> uniquely</w:t>
      </w:r>
      <w:r w:rsidRPr="007F6CDE">
        <w:rPr>
          <w:rFonts w:cs="Calibri"/>
          <w:i/>
        </w:rPr>
        <w:t xml:space="preserve"> </w:t>
      </w:r>
      <w:r>
        <w:rPr>
          <w:rFonts w:cs="Calibri"/>
        </w:rPr>
        <w:t xml:space="preserve">address.   The essay leaves for discussion the assessment of risks posed by the large scale release of organisms that have been modified to enhance their capacity for bioremediation of petroleum and on how such organisms might be designed, tested and demonstrated to accentuate benefits while minimizing risks.  </w:t>
      </w:r>
    </w:p>
    <w:p w:rsidR="00CC4DBD" w:rsidRDefault="00CC4DBD">
      <w:pPr>
        <w:jc w:val="both"/>
        <w:rPr>
          <w:rFonts w:cs="Calibri"/>
        </w:rPr>
      </w:pPr>
    </w:p>
    <w:p w:rsidR="00CC4DBD" w:rsidRDefault="00CC4DBD">
      <w:pPr>
        <w:jc w:val="both"/>
        <w:rPr>
          <w:rFonts w:cs="Calibri"/>
        </w:rPr>
      </w:pPr>
      <w:r>
        <w:rPr>
          <w:rFonts w:cs="Calibri"/>
        </w:rPr>
        <w:t>The principal points made by this review are as follows:</w:t>
      </w:r>
    </w:p>
    <w:p w:rsidR="00CC4DBD" w:rsidRDefault="00CC4DBD">
      <w:pPr>
        <w:numPr>
          <w:ilvl w:val="0"/>
          <w:numId w:val="26"/>
          <w:numberingChange w:id="37" w:author="Unknown" w:date="2011-01-12T15:27:00Z" w:original="(%1:1:0:)"/>
        </w:numPr>
        <w:ind w:left="360"/>
        <w:jc w:val="both"/>
        <w:rPr>
          <w:rFonts w:cs="Calibri"/>
        </w:rPr>
      </w:pPr>
      <w:r>
        <w:rPr>
          <w:rFonts w:cs="Calibri"/>
        </w:rPr>
        <w:t xml:space="preserve">Hydrocarbons are ubiquitous, as fossilized oil and gas and as current products of living bacteria. </w:t>
      </w:r>
      <w:r w:rsidRPr="0019253A">
        <w:rPr>
          <w:rFonts w:cs="Calibri"/>
        </w:rPr>
        <w:t>Petroleum is complex, with more than 17</w:t>
      </w:r>
      <w:r>
        <w:rPr>
          <w:rFonts w:cs="Calibri"/>
        </w:rPr>
        <w:t>,</w:t>
      </w:r>
      <w:r w:rsidRPr="0019253A">
        <w:rPr>
          <w:rFonts w:cs="Calibri"/>
        </w:rPr>
        <w:t>000 compounds appearing in samples.</w:t>
      </w:r>
    </w:p>
    <w:p w:rsidR="00CC4DBD" w:rsidRDefault="00CC4DBD">
      <w:pPr>
        <w:numPr>
          <w:ilvl w:val="0"/>
          <w:numId w:val="26"/>
          <w:numberingChange w:id="38" w:author="Unknown" w:date="2011-01-12T15:27:00Z" w:original="(%1:2:0:)"/>
        </w:numPr>
        <w:ind w:left="360"/>
        <w:jc w:val="both"/>
        <w:rPr>
          <w:rFonts w:cs="Calibri"/>
        </w:rPr>
      </w:pPr>
      <w:r>
        <w:rPr>
          <w:rFonts w:cs="Calibri"/>
        </w:rPr>
        <w:t>Given this combination of ubiquity and complexity, an exceptionally rich and diverse set of wild type organisms with varying capacities for bioremediation has evolved.</w:t>
      </w:r>
    </w:p>
    <w:p w:rsidR="00CC4DBD" w:rsidRDefault="00CC4DBD">
      <w:pPr>
        <w:numPr>
          <w:ilvl w:val="0"/>
          <w:numId w:val="26"/>
          <w:numberingChange w:id="39" w:author="Unknown" w:date="2011-01-12T15:27:00Z" w:original="(%1:3:0:)"/>
        </w:numPr>
        <w:ind w:left="360"/>
        <w:jc w:val="both"/>
        <w:rPr>
          <w:rFonts w:cs="Calibri"/>
        </w:rPr>
      </w:pPr>
      <w:r>
        <w:rPr>
          <w:rFonts w:cs="Calibri"/>
        </w:rPr>
        <w:t xml:space="preserve">Differences in external conditions including temperature, the presence or absence of nitrogen and nutrients;  interaction effects among microbes that may be present in a wide range of combinations; and diversity in the characteristics of the petroleum to be broken down render one-size-fits-all bioremediation illusory. </w:t>
      </w:r>
    </w:p>
    <w:p w:rsidR="00CC4DBD" w:rsidRDefault="00CC4DBD">
      <w:pPr>
        <w:numPr>
          <w:ilvl w:val="0"/>
          <w:numId w:val="26"/>
          <w:numberingChange w:id="40" w:author="Unknown" w:date="2011-01-12T15:27:00Z" w:original="(%1:4:0:)"/>
        </w:numPr>
        <w:ind w:left="360"/>
        <w:jc w:val="both"/>
        <w:rPr>
          <w:rFonts w:cs="Calibri"/>
        </w:rPr>
      </w:pPr>
      <w:r>
        <w:rPr>
          <w:rFonts w:cs="Calibri"/>
        </w:rPr>
        <w:t>Methods of synthetic biology, including the development of libraries of biological parts from wild types, the development of chassis for implantation of pathways, and the combination of standardized elements into biological devices, may be suited to bioremediation of petroleum by fostering rapid development of customized organisms tailored to address specific conditions.</w:t>
      </w:r>
    </w:p>
    <w:p w:rsidR="00CC4DBD" w:rsidRDefault="00CC4DBD">
      <w:pPr>
        <w:jc w:val="both"/>
        <w:rPr>
          <w:rFonts w:cs="Calibri"/>
        </w:rPr>
      </w:pPr>
      <w:r>
        <w:rPr>
          <w:rFonts w:cs="Calibri"/>
        </w:rPr>
        <w:t>Discussion will focus on identification of risks and benefits associated with the use of redesigned organisms  as well as design, testing and demonstration of organisms to improve safety.</w:t>
      </w:r>
    </w:p>
    <w:p w:rsidR="00CC4DBD" w:rsidRDefault="00CC4DBD">
      <w:pPr>
        <w:jc w:val="both"/>
        <w:rPr>
          <w:rFonts w:cs="Calibri"/>
        </w:rPr>
      </w:pPr>
    </w:p>
    <w:p w:rsidR="00CC4DBD" w:rsidRDefault="00CC4DBD">
      <w:pPr>
        <w:jc w:val="both"/>
        <w:rPr>
          <w:rFonts w:cs="Calibri"/>
          <w:sz w:val="6"/>
          <w:szCs w:val="6"/>
        </w:rPr>
      </w:pPr>
    </w:p>
    <w:p w:rsidR="00CC4DBD" w:rsidRDefault="00CC4DBD">
      <w:pPr>
        <w:jc w:val="both"/>
        <w:rPr>
          <w:rFonts w:cs="Calibri"/>
        </w:rPr>
      </w:pPr>
      <w:r>
        <w:rPr>
          <w:rFonts w:cs="Calibri"/>
        </w:rPr>
        <w:t>PART I:  BIOREMEDIATION BY WILDTYPES</w:t>
      </w:r>
    </w:p>
    <w:p w:rsidR="00CC4DBD" w:rsidRDefault="00CC4DBD">
      <w:pPr>
        <w:jc w:val="both"/>
        <w:rPr>
          <w:rFonts w:cs="Calibri"/>
        </w:rPr>
      </w:pPr>
      <w:r w:rsidRPr="007F6CDE">
        <w:rPr>
          <w:rFonts w:cs="Calibri"/>
        </w:rPr>
        <w:t xml:space="preserve">Inhabiting as we do </w:t>
      </w:r>
      <w:r>
        <w:rPr>
          <w:rFonts w:cs="Calibri"/>
        </w:rPr>
        <w:t xml:space="preserve">a </w:t>
      </w:r>
      <w:r w:rsidRPr="007F6CDE">
        <w:rPr>
          <w:rFonts w:cs="Calibri"/>
        </w:rPr>
        <w:t>water planet,</w:t>
      </w:r>
      <w:r>
        <w:rPr>
          <w:rFonts w:cs="Calibri"/>
        </w:rPr>
        <w:t xml:space="preserve"> it is </w:t>
      </w:r>
      <w:r w:rsidRPr="007F6CDE">
        <w:rPr>
          <w:rFonts w:cs="Calibri"/>
        </w:rPr>
        <w:t xml:space="preserve">tempting to think of hydrocarbons </w:t>
      </w:r>
      <w:r>
        <w:rPr>
          <w:rFonts w:cs="Calibri"/>
        </w:rPr>
        <w:t xml:space="preserve">as relatively rare </w:t>
      </w:r>
      <w:r w:rsidRPr="007F6CDE">
        <w:rPr>
          <w:rFonts w:cs="Calibri"/>
        </w:rPr>
        <w:t>components of our environment.  However,</w:t>
      </w:r>
      <w:r>
        <w:rPr>
          <w:rFonts w:cs="Calibri"/>
        </w:rPr>
        <w:t xml:space="preserve"> </w:t>
      </w:r>
      <w:r w:rsidRPr="007F6CDE">
        <w:rPr>
          <w:rFonts w:cs="Calibri"/>
        </w:rPr>
        <w:t>oil discharge</w:t>
      </w:r>
      <w:r>
        <w:rPr>
          <w:rFonts w:cs="Calibri"/>
        </w:rPr>
        <w:t xml:space="preserve">s on the surface of the earth </w:t>
      </w:r>
      <w:r w:rsidRPr="007F6CDE">
        <w:rPr>
          <w:rFonts w:cs="Calibri"/>
        </w:rPr>
        <w:t>in places like western Pennsylvania where the first commercial oil well in the U.S. was drilled in 1859</w:t>
      </w:r>
      <w:r>
        <w:rPr>
          <w:rFonts w:cs="Calibri"/>
        </w:rPr>
        <w:t xml:space="preserve"> and </w:t>
      </w:r>
      <w:r w:rsidRPr="007F6CDE">
        <w:rPr>
          <w:rFonts w:cs="Calibri"/>
        </w:rPr>
        <w:t>Baku in Azerbaijan where oil springs and seeps have been exploited since ancient times</w:t>
      </w:r>
      <w:r w:rsidRPr="007F6CDE">
        <w:rPr>
          <w:rStyle w:val="FootnoteReference"/>
          <w:rFonts w:cs="Calibri"/>
        </w:rPr>
        <w:footnoteReference w:id="3"/>
      </w:r>
      <w:r>
        <w:rPr>
          <w:rFonts w:cs="Calibri"/>
        </w:rPr>
        <w:t xml:space="preserve"> are common.  L</w:t>
      </w:r>
      <w:r w:rsidRPr="007F6CDE">
        <w:rPr>
          <w:rFonts w:cs="Calibri"/>
        </w:rPr>
        <w:t xml:space="preserve">iquid and gaseous hydrocarbons are widespread in the environment.  In fact, not only do they abound in the petroleum deposits formed by anaerobic decay of buried organic matter, they also occur ubiquitously in low concentrations in the soil and water as the result of ongoing biosyntheses by a wide range of living organisms.  </w:t>
      </w:r>
      <w:r>
        <w:rPr>
          <w:rFonts w:cs="Calibri"/>
        </w:rPr>
        <w:t xml:space="preserve">Because </w:t>
      </w:r>
      <w:r w:rsidRPr="007F6CDE">
        <w:rPr>
          <w:rFonts w:cs="Calibri"/>
        </w:rPr>
        <w:t xml:space="preserve">reacting hydrocarbons with atmospheric oxygen or mineral-based oxidizing agents releases large amounts of </w:t>
      </w:r>
      <w:r>
        <w:rPr>
          <w:rFonts w:cs="Calibri"/>
        </w:rPr>
        <w:t xml:space="preserve">energy, </w:t>
      </w:r>
      <w:r w:rsidRPr="007F6CDE">
        <w:rPr>
          <w:rFonts w:cs="Calibri"/>
        </w:rPr>
        <w:t>m</w:t>
      </w:r>
      <w:r>
        <w:rPr>
          <w:rFonts w:cs="Calibri"/>
        </w:rPr>
        <w:t xml:space="preserve">any organisms have emerged that </w:t>
      </w:r>
      <w:r w:rsidRPr="007F6CDE">
        <w:rPr>
          <w:rFonts w:cs="Calibri"/>
        </w:rPr>
        <w:t>live on hydrocarbons.</w:t>
      </w:r>
      <w:r w:rsidRPr="007F6CDE">
        <w:rPr>
          <w:rStyle w:val="FootnoteReference"/>
          <w:rFonts w:cs="Calibri"/>
        </w:rPr>
        <w:footnoteReference w:id="4"/>
      </w:r>
      <w:r>
        <w:rPr>
          <w:rFonts w:cs="Calibri"/>
        </w:rPr>
        <w:t xml:space="preserve">  </w:t>
      </w:r>
    </w:p>
    <w:p w:rsidR="00CC4DBD" w:rsidRDefault="00CC4DBD">
      <w:pPr>
        <w:ind w:firstLine="720"/>
        <w:jc w:val="both"/>
        <w:rPr>
          <w:rFonts w:cs="Calibri"/>
        </w:rPr>
      </w:pPr>
      <w:r w:rsidRPr="007F6CDE">
        <w:rPr>
          <w:rFonts w:cs="Calibri"/>
        </w:rPr>
        <w:t xml:space="preserve">This explains how natural remediation of oil spills occurs throughout the biosphere, including the bottom of the ocean – as recently demonstrated in the aftermath of the Deepwater Horizon (BP) disaster.  The responsible organisms in that case have long subsisted on the natural seeps that occur in the Gulf of Mexico, so when the sudden increase in undersea oil took place, their population simply expanded.  Furthermore, they were already adapted to the particular combination of hydrocarbons found in the leaking oil.  In other areas where oil spills have occurred, most notably Prince William Sound in Alaska where the 1989 </w:t>
      </w:r>
      <w:r w:rsidRPr="007F6CDE">
        <w:rPr>
          <w:rFonts w:cs="Calibri"/>
          <w:i/>
        </w:rPr>
        <w:t>Exxon Valdez</w:t>
      </w:r>
      <w:r w:rsidRPr="007F6CDE">
        <w:rPr>
          <w:rFonts w:cs="Calibri"/>
        </w:rPr>
        <w:t xml:space="preserve"> disaster took place, the pre-existing population of microorganisms capable of digesting petroleum was doubtless very limited and not particularly adapted to the type of crude oil that was released.  Consequently, significant quantities of the spilled hydrocarbons still contaminate the environment more than 20 years later.</w:t>
      </w:r>
    </w:p>
    <w:p w:rsidR="00CC4DBD" w:rsidRDefault="00CC4DBD">
      <w:pPr>
        <w:jc w:val="both"/>
        <w:rPr>
          <w:rFonts w:cs="Calibri"/>
        </w:rPr>
      </w:pPr>
      <w:r w:rsidRPr="007F6CDE">
        <w:rPr>
          <w:rFonts w:cs="Calibri"/>
        </w:rPr>
        <w:tab/>
        <w:t xml:space="preserve">Of all environmental contaminants to target for bioremediation, petroleum is </w:t>
      </w:r>
      <w:r>
        <w:rPr>
          <w:rFonts w:cs="Calibri"/>
        </w:rPr>
        <w:t xml:space="preserve">among </w:t>
      </w:r>
      <w:r w:rsidRPr="007F6CDE">
        <w:rPr>
          <w:rFonts w:cs="Calibri"/>
        </w:rPr>
        <w:t>the most complex.  Simple hydrocarbons (called alkanes) make up the bulk of most oil samples, but a substantial fraction consists of the so-called “aromatic” hydrocarbons, the simplest of which is benzene.  Many of the aromatics are quite carcinogenic – an obvious incentive to remove them from a contam</w:t>
      </w:r>
      <w:r>
        <w:rPr>
          <w:rFonts w:cs="Calibri"/>
        </w:rPr>
        <w:t>inated site.</w:t>
      </w:r>
      <w:r w:rsidRPr="007F6CDE">
        <w:rPr>
          <w:rFonts w:cs="Calibri"/>
        </w:rPr>
        <w:t xml:space="preserve">  Then there are substances whose molecules contain other elements besides carbon and hydrogen, most notably nitrogen and sulfur.  All in all, modern analytical techniques have identified a total of more </w:t>
      </w:r>
      <w:r>
        <w:rPr>
          <w:rFonts w:cs="Calibri"/>
        </w:rPr>
        <w:t xml:space="preserve">than </w:t>
      </w:r>
      <w:r w:rsidRPr="007F6CDE">
        <w:rPr>
          <w:rFonts w:cs="Calibri"/>
        </w:rPr>
        <w:t>17,000 different compounds</w:t>
      </w:r>
      <w:r>
        <w:rPr>
          <w:rFonts w:cs="Calibri"/>
        </w:rPr>
        <w:t xml:space="preserve"> in various  </w:t>
      </w:r>
      <w:r w:rsidRPr="007F6CDE">
        <w:rPr>
          <w:rFonts w:cs="Calibri"/>
        </w:rPr>
        <w:t>petroleum samples</w:t>
      </w:r>
      <w:r w:rsidRPr="007F6CDE">
        <w:rPr>
          <w:rStyle w:val="FootnoteReference"/>
          <w:rFonts w:cs="Calibri"/>
        </w:rPr>
        <w:footnoteReference w:id="5"/>
      </w:r>
      <w:r w:rsidRPr="007F6CDE">
        <w:rPr>
          <w:rFonts w:cs="Calibri"/>
        </w:rPr>
        <w:t xml:space="preserve"> – a staggering degree of complexity, compounded by the significant variations in composition of crude oil from different sources.</w:t>
      </w:r>
    </w:p>
    <w:p w:rsidR="00CC4DBD" w:rsidRDefault="00CC4DBD">
      <w:pPr>
        <w:jc w:val="both"/>
        <w:rPr>
          <w:rFonts w:cs="Calibri"/>
        </w:rPr>
      </w:pPr>
      <w:r w:rsidRPr="007F6CDE">
        <w:rPr>
          <w:rFonts w:cs="Calibri"/>
        </w:rPr>
        <w:tab/>
        <w:t xml:space="preserve">As described in the accompanying essay about atrazine, the essence of </w:t>
      </w:r>
      <w:r>
        <w:rPr>
          <w:rFonts w:cs="Calibri"/>
        </w:rPr>
        <w:t xml:space="preserve">any bioremediation process </w:t>
      </w:r>
      <w:r w:rsidRPr="007F6CDE">
        <w:rPr>
          <w:rFonts w:cs="Calibri"/>
        </w:rPr>
        <w:t>consists of having organisms that can take up the pollutant and transform it into something less harmful.  In the case of organic molecules like atrazine, that basically depends upon a metabolic path for biochemical degradation.  A crucial component of such a path is the first enzyme that “bites into” the contaminant molecule and transforms it into a product that other enzymes in the cell can metabolize further.  Such initial enzymes are particularly important in the case of oil spills since petroleum constituents tend to be chemically inert</w:t>
      </w:r>
      <w:r>
        <w:rPr>
          <w:rFonts w:cs="Calibri"/>
        </w:rPr>
        <w:t xml:space="preserve">.  Oil </w:t>
      </w:r>
      <w:r w:rsidRPr="007F6CDE">
        <w:rPr>
          <w:rFonts w:cs="Calibri"/>
        </w:rPr>
        <w:t>remain</w:t>
      </w:r>
      <w:r>
        <w:rPr>
          <w:rFonts w:cs="Calibri"/>
        </w:rPr>
        <w:t>s</w:t>
      </w:r>
      <w:r w:rsidRPr="007F6CDE">
        <w:rPr>
          <w:rFonts w:cs="Calibri"/>
        </w:rPr>
        <w:t xml:space="preserve"> stable in hot underground res</w:t>
      </w:r>
      <w:r>
        <w:rPr>
          <w:rFonts w:cs="Calibri"/>
        </w:rPr>
        <w:t xml:space="preserve">ervoirs for millions of years and </w:t>
      </w:r>
      <w:r w:rsidRPr="007F6CDE">
        <w:rPr>
          <w:rFonts w:cs="Calibri"/>
        </w:rPr>
        <w:t>only slowly deteriorate</w:t>
      </w:r>
      <w:r>
        <w:rPr>
          <w:rFonts w:cs="Calibri"/>
        </w:rPr>
        <w:t>s</w:t>
      </w:r>
      <w:r w:rsidRPr="007F6CDE">
        <w:rPr>
          <w:rFonts w:cs="Calibri"/>
        </w:rPr>
        <w:t xml:space="preserve"> when used to lubricate the cylinders</w:t>
      </w:r>
      <w:r>
        <w:rPr>
          <w:rFonts w:cs="Calibri"/>
        </w:rPr>
        <w:t xml:space="preserve"> of internal combustion engines</w:t>
      </w:r>
      <w:r w:rsidRPr="007F6CDE">
        <w:rPr>
          <w:rFonts w:cs="Calibri"/>
        </w:rPr>
        <w:t>.</w:t>
      </w:r>
    </w:p>
    <w:p w:rsidR="00CC4DBD" w:rsidRDefault="00CC4DBD">
      <w:pPr>
        <w:jc w:val="both"/>
        <w:rPr>
          <w:rFonts w:cs="Calibri"/>
        </w:rPr>
      </w:pPr>
      <w:r w:rsidRPr="007F6CDE">
        <w:rPr>
          <w:rFonts w:cs="Calibri"/>
        </w:rPr>
        <w:tab/>
        <w:t>The article by Head, Jones and Roeling</w:t>
      </w:r>
      <w:r w:rsidRPr="007F6CDE">
        <w:rPr>
          <w:rStyle w:val="FootnoteReference"/>
          <w:rFonts w:cs="Calibri"/>
        </w:rPr>
        <w:footnoteReference w:id="6"/>
      </w:r>
      <w:r w:rsidRPr="007F6CDE">
        <w:rPr>
          <w:rFonts w:cs="Calibri"/>
        </w:rPr>
        <w:t xml:space="preserve"> calls attention to bacterial species such as </w:t>
      </w:r>
      <w:r w:rsidRPr="007F6CDE">
        <w:rPr>
          <w:rFonts w:cs="Calibri"/>
          <w:i/>
        </w:rPr>
        <w:t>Alcanivorax-</w:t>
      </w:r>
      <w:r w:rsidRPr="007F6CDE">
        <w:rPr>
          <w:rFonts w:cs="Calibri"/>
        </w:rPr>
        <w:t xml:space="preserve">like organisms that have been observed in oil-impacted environments globally and that possess particularly potent alkane-attacking capabilities.  </w:t>
      </w:r>
      <w:r w:rsidRPr="007F6CDE">
        <w:rPr>
          <w:rFonts w:cs="Calibri"/>
          <w:i/>
        </w:rPr>
        <w:t>Alcanivorax</w:t>
      </w:r>
      <w:r w:rsidRPr="007F6CDE">
        <w:rPr>
          <w:rFonts w:cs="Calibri"/>
        </w:rPr>
        <w:t xml:space="preserve"> tend to predominate in the early phases of natural remediation and remove substantial amounts of the saturated hydrocarbons that make up the largest fraction of the oil.  Similarly </w:t>
      </w:r>
      <w:r w:rsidRPr="007F6CDE">
        <w:rPr>
          <w:rFonts w:cs="Calibri"/>
          <w:i/>
        </w:rPr>
        <w:t>Cycloclasticus</w:t>
      </w:r>
      <w:r w:rsidRPr="007F6CDE">
        <w:rPr>
          <w:rFonts w:cs="Calibri"/>
        </w:rPr>
        <w:t xml:space="preserve"> species specialize in attacking polycyclic aromatic hydrocarbons in oil spills, and these organisms abound in contaminated sites in the Gulf of Mexico and Puget Sound.  They normally become more numerous at a spill site after the numbers of </w:t>
      </w:r>
      <w:r w:rsidRPr="007F6CDE">
        <w:rPr>
          <w:rFonts w:cs="Calibri"/>
          <w:i/>
        </w:rPr>
        <w:t xml:space="preserve">Alcanivorax </w:t>
      </w:r>
      <w:r w:rsidRPr="007F6CDE">
        <w:rPr>
          <w:rFonts w:cs="Calibri"/>
        </w:rPr>
        <w:t xml:space="preserve">species begin to subside.  Another group of bacteria called </w:t>
      </w:r>
      <w:r w:rsidRPr="007F6CDE">
        <w:rPr>
          <w:rFonts w:cs="Calibri"/>
          <w:i/>
        </w:rPr>
        <w:t>Geobacilli,</w:t>
      </w:r>
      <w:r w:rsidRPr="007F6CDE">
        <w:rPr>
          <w:rFonts w:cs="Calibri"/>
          <w:vertAlign w:val="superscript"/>
        </w:rPr>
        <w:t xml:space="preserve">5  </w:t>
      </w:r>
      <w:r w:rsidRPr="007F6CDE">
        <w:rPr>
          <w:rFonts w:cs="Calibri"/>
        </w:rPr>
        <w:t xml:space="preserve">most of which are thermophilic, has also been implicated in natural oil remediation processes and offers candidate species for artificial remediation.  The complete genome sequence of one such organism, </w:t>
      </w:r>
      <w:r w:rsidRPr="007F6CDE">
        <w:rPr>
          <w:rFonts w:cs="Calibri"/>
          <w:i/>
        </w:rPr>
        <w:t xml:space="preserve">Geobacillus thermodenitrificans </w:t>
      </w:r>
      <w:r w:rsidRPr="007F6CDE">
        <w:rPr>
          <w:rFonts w:cs="Calibri"/>
        </w:rPr>
        <w:t xml:space="preserve">NG80-2, isolated from a deep, hot, subsurface oil reservoir in northern China, has been determined by Feng </w:t>
      </w:r>
      <w:r w:rsidRPr="007F6CDE">
        <w:rPr>
          <w:rFonts w:cs="Calibri"/>
          <w:i/>
        </w:rPr>
        <w:t>et al.,</w:t>
      </w:r>
      <w:r w:rsidRPr="007F6CDE">
        <w:rPr>
          <w:rFonts w:cs="Calibri"/>
          <w:vertAlign w:val="superscript"/>
        </w:rPr>
        <w:t>5</w:t>
      </w:r>
      <w:r w:rsidRPr="007F6CDE">
        <w:rPr>
          <w:rFonts w:cs="Calibri"/>
          <w:i/>
        </w:rPr>
        <w:t xml:space="preserve"> </w:t>
      </w:r>
      <w:r w:rsidRPr="007F6CDE">
        <w:rPr>
          <w:rFonts w:cs="Calibri"/>
        </w:rPr>
        <w:t xml:space="preserve">who discovered that it has some remarkable features: (1) genes that enable it to utilize a broad range of hydrocarbons as potential energy sources, (2) genes encoding a number of transporters for nutrient uptake and detoxification, (3) genes for a flexible respiratory (oxygen-utilizing) system, including use of nitrate under anaerobic conditions, and (4) a previously unknown long-chain alkane mono-oxygenase enzyme, LadA, that allows it to consume the typical sorts of alkanes found in petroleum as its energy source.  And all this in a genome only slightly larger than half the </w:t>
      </w:r>
      <w:r w:rsidRPr="007F6CDE">
        <w:rPr>
          <w:rFonts w:cs="Calibri"/>
          <w:i/>
        </w:rPr>
        <w:t xml:space="preserve">E. coli </w:t>
      </w:r>
      <w:r>
        <w:rPr>
          <w:rFonts w:cs="Calibri"/>
        </w:rPr>
        <w:t>genome.</w:t>
      </w:r>
    </w:p>
    <w:p w:rsidR="00CC4DBD" w:rsidRDefault="00CC4DBD">
      <w:pPr>
        <w:jc w:val="both"/>
        <w:rPr>
          <w:rFonts w:cs="Calibri"/>
        </w:rPr>
      </w:pPr>
      <w:r w:rsidRPr="007F6CDE">
        <w:rPr>
          <w:rFonts w:cs="Calibri"/>
        </w:rPr>
        <w:tab/>
        <w:t>The emerging picture of how natural oil-spill bioremediation takes place then includes a variety of bacterial</w:t>
      </w:r>
      <w:r w:rsidRPr="007F6CDE">
        <w:rPr>
          <w:rStyle w:val="FootnoteReference"/>
          <w:rFonts w:cs="Calibri"/>
        </w:rPr>
        <w:footnoteReference w:id="7"/>
      </w:r>
      <w:r w:rsidRPr="007F6CDE">
        <w:rPr>
          <w:rFonts w:cs="Calibri"/>
        </w:rPr>
        <w:t xml:space="preserve"> species with semi-specialized tasks that remove </w:t>
      </w:r>
      <w:r>
        <w:rPr>
          <w:rFonts w:cs="Calibri"/>
        </w:rPr>
        <w:t>contaminating hydrocarbons and less-common oil constituents</w:t>
      </w:r>
      <w:r w:rsidRPr="007F6CDE">
        <w:rPr>
          <w:rFonts w:cs="Calibri"/>
        </w:rPr>
        <w:t xml:space="preserve"> in a more-or-less phased process.  Another important factor is the availability of suitable forms of nitro</w:t>
      </w:r>
      <w:r>
        <w:rPr>
          <w:rFonts w:cs="Calibri"/>
        </w:rPr>
        <w:t>gen and phosphorus that serve as fertilizer.</w:t>
      </w:r>
      <w:r w:rsidRPr="007F6CDE">
        <w:rPr>
          <w:rFonts w:cs="Calibri"/>
        </w:rPr>
        <w:t xml:space="preserve">  When these are in short supply the re</w:t>
      </w:r>
      <w:r>
        <w:rPr>
          <w:rFonts w:cs="Calibri"/>
        </w:rPr>
        <w:t>mediation takes place slowly</w:t>
      </w:r>
      <w:r w:rsidRPr="007F6CDE">
        <w:rPr>
          <w:rFonts w:cs="Calibri"/>
        </w:rPr>
        <w:t xml:space="preserve"> and in many instances erratically or scarcely at all.  Because of the s</w:t>
      </w:r>
      <w:r>
        <w:rPr>
          <w:rFonts w:cs="Calibri"/>
        </w:rPr>
        <w:t xml:space="preserve">pecialization of metabolisms, </w:t>
      </w:r>
      <w:r w:rsidRPr="007F6CDE">
        <w:rPr>
          <w:rFonts w:cs="Calibri"/>
        </w:rPr>
        <w:t>different participating bacterial strains may wax and wane as the supply of petroleum constituents changes composit</w:t>
      </w:r>
      <w:r>
        <w:rPr>
          <w:rFonts w:cs="Calibri"/>
        </w:rPr>
        <w:t>ion.  T</w:t>
      </w:r>
      <w:r w:rsidRPr="007F6CDE">
        <w:rPr>
          <w:rFonts w:cs="Calibri"/>
        </w:rPr>
        <w:t>he course and pace of oil bioremediation also reflects variations in the external environment, including the seasons, storms, etc.</w:t>
      </w:r>
    </w:p>
    <w:p w:rsidR="00CC4DBD" w:rsidRDefault="00CC4DBD">
      <w:pPr>
        <w:jc w:val="both"/>
        <w:rPr>
          <w:rFonts w:cs="Calibri"/>
        </w:rPr>
      </w:pPr>
      <w:r w:rsidRPr="007F6CDE">
        <w:rPr>
          <w:rFonts w:cs="Calibri"/>
        </w:rPr>
        <w:tab/>
        <w:t xml:space="preserve">A factor to consider in the light of the communal nature of bioremediation is the tendency of microorganisms to develop interdependence, sometimes termed “syntrophy” – a dependence on </w:t>
      </w:r>
      <w:r>
        <w:rPr>
          <w:rFonts w:cs="Calibri"/>
        </w:rPr>
        <w:t xml:space="preserve">another organism’s </w:t>
      </w:r>
      <w:r w:rsidRPr="007F6CDE">
        <w:rPr>
          <w:rFonts w:cs="Calibri"/>
        </w:rPr>
        <w:t>metabolic activity for survival of one or both organisms –</w:t>
      </w:r>
      <w:r>
        <w:rPr>
          <w:rFonts w:cs="Calibri"/>
        </w:rPr>
        <w:t xml:space="preserve"> </w:t>
      </w:r>
      <w:r w:rsidRPr="007F6CDE">
        <w:rPr>
          <w:rFonts w:cs="Calibri"/>
        </w:rPr>
        <w:t>and release of specific metabolites into th</w:t>
      </w:r>
      <w:r>
        <w:rPr>
          <w:rFonts w:cs="Calibri"/>
        </w:rPr>
        <w:t xml:space="preserve">e common environment.  An apt though a bit narrow </w:t>
      </w:r>
      <w:r w:rsidRPr="007F6CDE">
        <w:rPr>
          <w:rFonts w:cs="Calibri"/>
        </w:rPr>
        <w:t>definition of this behavior is “a nutritional situation in which two or more organisms combine their metabolic capabilities to catabolize</w:t>
      </w:r>
      <w:r w:rsidRPr="007F6CDE">
        <w:rPr>
          <w:rStyle w:val="FootnoteReference"/>
          <w:rFonts w:cs="Calibri"/>
        </w:rPr>
        <w:footnoteReference w:id="8"/>
      </w:r>
      <w:r w:rsidRPr="007F6CDE">
        <w:rPr>
          <w:rFonts w:cs="Calibri"/>
        </w:rPr>
        <w:t xml:space="preserve"> a substance not capable of being catabolized by either one alone.”  One might speculate that if such a relationship lasted long enough, it could lead to evolutionary pressure for “horizontal gene transfer”</w:t>
      </w:r>
      <w:r w:rsidRPr="007F6CDE">
        <w:rPr>
          <w:rStyle w:val="FootnoteReference"/>
          <w:rFonts w:cs="Calibri"/>
        </w:rPr>
        <w:footnoteReference w:id="9"/>
      </w:r>
      <w:r w:rsidRPr="007F6CDE">
        <w:rPr>
          <w:rFonts w:cs="Calibri"/>
        </w:rPr>
        <w:t xml:space="preserve"> that could allow one of the partners to acquire the capability it pr</w:t>
      </w:r>
      <w:r>
        <w:rPr>
          <w:rFonts w:cs="Calibri"/>
        </w:rPr>
        <w:t xml:space="preserve">eviously lacked </w:t>
      </w:r>
      <w:r w:rsidRPr="007F6CDE">
        <w:rPr>
          <w:rFonts w:cs="Calibri"/>
        </w:rPr>
        <w:t>thereby freeing itself from syntrophic dependency.  Under such circumstances the species with the augmented genome could presumabl</w:t>
      </w:r>
      <w:r>
        <w:rPr>
          <w:rFonts w:cs="Calibri"/>
        </w:rPr>
        <w:t>y out-grow its former partner</w:t>
      </w:r>
      <w:r w:rsidRPr="007F6CDE">
        <w:rPr>
          <w:rFonts w:cs="Calibri"/>
        </w:rPr>
        <w:t xml:space="preserve"> who would either be margina</w:t>
      </w:r>
      <w:r>
        <w:rPr>
          <w:rFonts w:cs="Calibri"/>
        </w:rPr>
        <w:t>lized in the shared environment</w:t>
      </w:r>
      <w:r w:rsidRPr="007F6CDE">
        <w:rPr>
          <w:rFonts w:cs="Calibri"/>
        </w:rPr>
        <w:t xml:space="preserve"> or driven to extinction.  Genomic descriptions of some of the bacterial species mentioned earlier as playing important roles in natural petroleum bioremediation suggests that many such events have taken place over evolutionary time (and continue to do so).</w:t>
      </w:r>
      <w:r>
        <w:rPr>
          <w:rFonts w:cs="Calibri"/>
        </w:rPr>
        <w:t xml:space="preserve">  </w:t>
      </w:r>
      <w:r w:rsidRPr="007F6CDE">
        <w:rPr>
          <w:rFonts w:cs="Calibri"/>
        </w:rPr>
        <w:t>Another key point in the area of multi-species participation in oil spill remediation concerns the contributions made by microorganisms that produce surfactants.  Just as lipid digestion in animals benefits from the dispersions produced by bile salts (surfactants produced by the liver), hydrocarbon degradation in the environment is accelerated by surfactant production.</w:t>
      </w:r>
    </w:p>
    <w:p w:rsidR="00CC4DBD" w:rsidRDefault="00CC4DBD">
      <w:pPr>
        <w:jc w:val="both"/>
        <w:rPr>
          <w:rFonts w:cs="Calibri"/>
        </w:rPr>
      </w:pPr>
    </w:p>
    <w:p w:rsidR="00CC4DBD" w:rsidRDefault="00CC4DBD">
      <w:pPr>
        <w:jc w:val="both"/>
        <w:rPr>
          <w:rFonts w:cs="Calibri"/>
        </w:rPr>
      </w:pPr>
      <w:r>
        <w:rPr>
          <w:rFonts w:cs="Calibri"/>
        </w:rPr>
        <w:t xml:space="preserve">PART II: BIOREMEDIATION BY ORGANISMS ENHANCED BY DIRECTED EVOLUTION AND/OR  SYNBIO </w:t>
      </w:r>
    </w:p>
    <w:p w:rsidR="00CC4DBD" w:rsidRDefault="00CC4DBD">
      <w:pPr>
        <w:jc w:val="both"/>
        <w:rPr>
          <w:rFonts w:cs="Calibri"/>
        </w:rPr>
      </w:pPr>
      <w:r w:rsidRPr="007F6CDE">
        <w:rPr>
          <w:rFonts w:cs="Calibri"/>
        </w:rPr>
        <w:t>Much attention currently focuses on producing enhanced microorganisms for</w:t>
      </w:r>
      <w:r>
        <w:rPr>
          <w:rFonts w:cs="Calibri"/>
        </w:rPr>
        <w:t xml:space="preserve"> bioremediation of oil spills</w:t>
      </w:r>
      <w:r w:rsidRPr="007F6CDE">
        <w:rPr>
          <w:rFonts w:cs="Calibri"/>
        </w:rPr>
        <w:t xml:space="preserve"> using “traditional” techniques of genetic en</w:t>
      </w:r>
      <w:r>
        <w:rPr>
          <w:rFonts w:cs="Calibri"/>
        </w:rPr>
        <w:t>gineering  (</w:t>
      </w:r>
      <w:r w:rsidRPr="007F6CDE">
        <w:rPr>
          <w:rFonts w:cs="Calibri"/>
        </w:rPr>
        <w:t>including directed evolution</w:t>
      </w:r>
      <w:r w:rsidRPr="007F6CDE">
        <w:rPr>
          <w:rStyle w:val="FootnoteReference"/>
          <w:rFonts w:cs="Calibri"/>
        </w:rPr>
        <w:footnoteReference w:id="10"/>
      </w:r>
      <w:r w:rsidRPr="007F6CDE">
        <w:rPr>
          <w:rFonts w:cs="Calibri"/>
        </w:rPr>
        <w:t>) as demonstrated by the more recent reviews listed below in the Bibliography.  In fact, some of these propose sufficiently major kinds of modification as to qualify for the “Synthetic Biology” label</w:t>
      </w:r>
      <w:r w:rsidRPr="007F6CDE">
        <w:rPr>
          <w:rStyle w:val="FootnoteReference"/>
          <w:rFonts w:cs="Calibri"/>
        </w:rPr>
        <w:footnoteReference w:id="11"/>
      </w:r>
      <w:r>
        <w:rPr>
          <w:rFonts w:cs="Calibri"/>
        </w:rPr>
        <w:t xml:space="preserve"> </w:t>
      </w:r>
      <w:r w:rsidRPr="007F6CDE">
        <w:rPr>
          <w:rFonts w:cs="Calibri"/>
        </w:rPr>
        <w:t>though that term does not appear in this literature.</w:t>
      </w:r>
      <w:r w:rsidRPr="007F6CDE">
        <w:rPr>
          <w:rStyle w:val="FootnoteReference"/>
          <w:rFonts w:cs="Calibri"/>
        </w:rPr>
        <w:footnoteReference w:id="12"/>
      </w:r>
      <w:r w:rsidRPr="007F6CDE">
        <w:rPr>
          <w:rFonts w:cs="Calibri"/>
        </w:rPr>
        <w:t xml:space="preserve">  Given the many-to-many nature of the petroleum bioremediation problem </w:t>
      </w:r>
      <w:r w:rsidRPr="002C79DC">
        <w:rPr>
          <w:rFonts w:cs="Calibri"/>
        </w:rPr>
        <w:t xml:space="preserve">(many, many different chemical substances to be metabolized into innocuous products by suites of genes drawn from many different types of microbial metabolic systems) this may represent </w:t>
      </w:r>
      <w:r>
        <w:rPr>
          <w:rFonts w:cs="Calibri"/>
        </w:rPr>
        <w:t xml:space="preserve">significant technical </w:t>
      </w:r>
      <w:r w:rsidRPr="002C79DC">
        <w:rPr>
          <w:rFonts w:cs="Calibri"/>
        </w:rPr>
        <w:t>challenge</w:t>
      </w:r>
      <w:r>
        <w:rPr>
          <w:rFonts w:cs="Calibri"/>
        </w:rPr>
        <w:t xml:space="preserve">s, daunting biosafety </w:t>
      </w:r>
      <w:r w:rsidRPr="002C79DC">
        <w:rPr>
          <w:rFonts w:cs="Calibri"/>
        </w:rPr>
        <w:t>challenges</w:t>
      </w:r>
      <w:r>
        <w:rPr>
          <w:rFonts w:cs="Calibri"/>
        </w:rPr>
        <w:t xml:space="preserve">, and formidable issues of </w:t>
      </w:r>
      <w:r w:rsidRPr="002C79DC">
        <w:rPr>
          <w:rFonts w:cs="Calibri"/>
        </w:rPr>
        <w:t>public acceptance.</w:t>
      </w:r>
    </w:p>
    <w:p w:rsidR="00CC4DBD" w:rsidRDefault="00CC4DBD">
      <w:pPr>
        <w:ind w:firstLine="720"/>
        <w:jc w:val="both"/>
        <w:rPr>
          <w:rFonts w:cs="Calibri"/>
        </w:rPr>
      </w:pPr>
      <w:r>
        <w:rPr>
          <w:rFonts w:cs="Calibri"/>
        </w:rPr>
        <w:t xml:space="preserve">Would the </w:t>
      </w:r>
      <w:r w:rsidRPr="00084549">
        <w:rPr>
          <w:rFonts w:cs="Calibri"/>
        </w:rPr>
        <w:t>public</w:t>
      </w:r>
      <w:r>
        <w:rPr>
          <w:rFonts w:cs="Calibri"/>
        </w:rPr>
        <w:t xml:space="preserve"> be more likely to accept SB bioremediation, and </w:t>
      </w:r>
      <w:r w:rsidRPr="007F6CDE">
        <w:rPr>
          <w:rFonts w:cs="Calibri"/>
        </w:rPr>
        <w:t>the remediation of p</w:t>
      </w:r>
      <w:r>
        <w:rPr>
          <w:rFonts w:cs="Calibri"/>
        </w:rPr>
        <w:t xml:space="preserve">etroleum spills in particular, </w:t>
      </w:r>
      <w:r w:rsidRPr="007F6CDE">
        <w:rPr>
          <w:rFonts w:cs="Calibri"/>
        </w:rPr>
        <w:t>than other SB applications</w:t>
      </w:r>
      <w:r>
        <w:rPr>
          <w:rFonts w:cs="Calibri"/>
        </w:rPr>
        <w:t>?  Several factors may be germane.</w:t>
      </w:r>
    </w:p>
    <w:p w:rsidR="00CC4DBD" w:rsidRDefault="00CC4DBD">
      <w:pPr>
        <w:jc w:val="both"/>
        <w:rPr>
          <w:rFonts w:cs="Calibri"/>
        </w:rPr>
      </w:pPr>
      <w:r w:rsidRPr="002C79DC">
        <w:rPr>
          <w:rFonts w:cs="Calibri"/>
        </w:rPr>
        <w:t>(1) the source organisms for most of the genes to be used as starting points to construct novel bioremediators will come from soil or marine environments, most will have no close</w:t>
      </w:r>
      <w:r w:rsidRPr="007F6CDE">
        <w:rPr>
          <w:rFonts w:cs="Calibri"/>
        </w:rPr>
        <w:t xml:space="preserve"> relationship to pathogens or parasites of humans, higher animals or (probably) even plants.</w:t>
      </w:r>
      <w:r w:rsidRPr="007F6CDE">
        <w:rPr>
          <w:rStyle w:val="FootnoteReference"/>
          <w:rFonts w:cs="Calibri"/>
        </w:rPr>
        <w:footnoteReference w:id="13"/>
      </w:r>
      <w:r w:rsidRPr="007F6CDE">
        <w:rPr>
          <w:rFonts w:cs="Calibri"/>
        </w:rPr>
        <w:t xml:space="preserve">  Thus their genes will have a reduced likelihood of getting into human or animal cells and wreaking havoc</w:t>
      </w:r>
      <w:r w:rsidRPr="007F6CDE">
        <w:rPr>
          <w:rStyle w:val="FootnoteReference"/>
          <w:rFonts w:cs="Calibri"/>
        </w:rPr>
        <w:footnoteReference w:id="14"/>
      </w:r>
      <w:r w:rsidRPr="007F6CDE">
        <w:rPr>
          <w:rFonts w:cs="Calibri"/>
        </w:rPr>
        <w:t xml:space="preserve">; </w:t>
      </w:r>
    </w:p>
    <w:p w:rsidR="00CC4DBD" w:rsidRDefault="00CC4DBD">
      <w:pPr>
        <w:jc w:val="both"/>
        <w:rPr>
          <w:rFonts w:cs="Calibri"/>
        </w:rPr>
      </w:pPr>
      <w:r w:rsidRPr="002C79DC">
        <w:rPr>
          <w:rFonts w:cs="Calibri"/>
        </w:rPr>
        <w:t>(2) The locations to deploy these organisms would most likely be distant from human habitation, health-care fa</w:t>
      </w:r>
      <w:r>
        <w:rPr>
          <w:rFonts w:cs="Calibri"/>
        </w:rPr>
        <w:t>cilities and agricultural areas</w:t>
      </w:r>
      <w:r w:rsidRPr="002C79DC">
        <w:rPr>
          <w:rFonts w:cs="Calibri"/>
        </w:rPr>
        <w:t xml:space="preserve">; </w:t>
      </w:r>
    </w:p>
    <w:p w:rsidR="00CC4DBD" w:rsidRDefault="00CC4DBD">
      <w:pPr>
        <w:jc w:val="both"/>
        <w:rPr>
          <w:rFonts w:cs="Calibri"/>
        </w:rPr>
      </w:pPr>
      <w:r w:rsidRPr="002C79DC">
        <w:rPr>
          <w:rFonts w:cs="Calibri"/>
        </w:rPr>
        <w:t>(3) As noted above, the bacterial types with useful genetic elements for bioremediation occur all over the bacterial phylogenetic tree, so genes to be selected for SB remediating purposes can probably be picked off branches of the tree of life that lack most members of the human microbiome</w:t>
      </w:r>
      <w:r w:rsidRPr="002C79DC">
        <w:rPr>
          <w:rStyle w:val="FootnoteReference"/>
          <w:rFonts w:cs="Calibri"/>
        </w:rPr>
        <w:footnoteReference w:id="15"/>
      </w:r>
      <w:r w:rsidRPr="002C79DC">
        <w:rPr>
          <w:rFonts w:cs="Calibri"/>
        </w:rPr>
        <w:t xml:space="preserve"> (or other bacteria that we contact frequently)</w:t>
      </w:r>
      <w:r w:rsidRPr="002C79DC">
        <w:rPr>
          <w:rStyle w:val="FootnoteReference"/>
          <w:rFonts w:cs="Calibri"/>
        </w:rPr>
        <w:footnoteReference w:id="16"/>
      </w:r>
      <w:r w:rsidRPr="002C79DC">
        <w:rPr>
          <w:rFonts w:cs="Calibri"/>
        </w:rPr>
        <w:t xml:space="preserve">;  </w:t>
      </w:r>
    </w:p>
    <w:p w:rsidR="00CC4DBD" w:rsidRDefault="00CC4DBD">
      <w:pPr>
        <w:jc w:val="both"/>
        <w:rPr>
          <w:rFonts w:cs="Calibri"/>
        </w:rPr>
      </w:pPr>
      <w:r w:rsidRPr="002C79DC">
        <w:rPr>
          <w:rFonts w:cs="Calibri"/>
        </w:rPr>
        <w:t xml:space="preserve">(4) Like most microbial communities, the biomes with organisms likely to contribute to bioremediation swarm with protozoa and bacterial viruses.  These in turn may be useful both as means to move genes around during the engineering process and also to make tailored viruses that could be used to “take out” the SB remediating strains once their task is finished. </w:t>
      </w:r>
    </w:p>
    <w:p w:rsidR="00CC4DBD" w:rsidRDefault="00CC4DBD">
      <w:pPr>
        <w:jc w:val="both"/>
        <w:rPr>
          <w:rFonts w:cs="Calibri"/>
        </w:rPr>
      </w:pPr>
      <w:r>
        <w:rPr>
          <w:rFonts w:cs="Calibri"/>
        </w:rPr>
        <w:t xml:space="preserve">(5) Conversely, the ubiquity of petroleum in natural settings and in households, vehicles and industry as lubricants and fuels may accentuate concerns over the effects of uncontained self-replicating organisms that break down a strategic asset.  </w:t>
      </w:r>
    </w:p>
    <w:p w:rsidR="00CC4DBD" w:rsidRDefault="00CC4DBD">
      <w:pPr>
        <w:jc w:val="both"/>
        <w:rPr>
          <w:rFonts w:cs="Calibri"/>
        </w:rPr>
      </w:pPr>
      <w:r w:rsidRPr="007F6CDE">
        <w:rPr>
          <w:rFonts w:cs="Calibri"/>
        </w:rPr>
        <w:tab/>
        <w:t xml:space="preserve">Now to </w:t>
      </w:r>
      <w:r>
        <w:rPr>
          <w:rFonts w:cs="Calibri"/>
        </w:rPr>
        <w:t xml:space="preserve">return to </w:t>
      </w:r>
      <w:r w:rsidRPr="007F6CDE">
        <w:rPr>
          <w:rFonts w:cs="Calibri"/>
        </w:rPr>
        <w:t xml:space="preserve">the central question of this essay:  What role can SB play in developing the means to better remediate oil spills and discharges – and what aspects of the problem can it </w:t>
      </w:r>
      <w:r w:rsidRPr="007F6CDE">
        <w:rPr>
          <w:rFonts w:cs="Calibri"/>
          <w:i/>
        </w:rPr>
        <w:t xml:space="preserve">uniquely </w:t>
      </w:r>
      <w:r w:rsidRPr="007F6CDE">
        <w:rPr>
          <w:rFonts w:cs="Calibri"/>
        </w:rPr>
        <w:t>address?  It would be presumptuous to suggest that anyone at this stage could formulate a complete and correct answer, but the information presented t</w:t>
      </w:r>
      <w:r>
        <w:rPr>
          <w:rFonts w:cs="Calibri"/>
        </w:rPr>
        <w:t xml:space="preserve">hus far (accessible in greater detail in </w:t>
      </w:r>
      <w:r w:rsidRPr="007F6CDE">
        <w:rPr>
          <w:rFonts w:cs="Calibri"/>
        </w:rPr>
        <w:t>the Bibliography) allows us to formulate some suggestions.</w:t>
      </w:r>
    </w:p>
    <w:p w:rsidR="00CC4DBD" w:rsidRDefault="00CC4DBD">
      <w:pPr>
        <w:jc w:val="both"/>
        <w:rPr>
          <w:rFonts w:cs="Calibri"/>
          <w:color w:val="000000"/>
        </w:rPr>
      </w:pPr>
      <w:r w:rsidRPr="00634DB0">
        <w:rPr>
          <w:rFonts w:cs="Calibri"/>
          <w:color w:val="000000"/>
        </w:rPr>
        <w:t>1.  It will be possible to assemble collections of “biological parts” that are relevant to the core problem of oil bioremediation.  This will include the enzymes that participate in already-established degradative metabolisms such as those referred to above.  Combining two or more such subsystems in a single bacterial cell in such a way that the organism can simultaneously (or separately) metabolize two disparate pollutants will begin to test the concept of a designed multifunctional bioremediating organism.  Having an ever-growing collection of parts available would facilitate research all over the world to continue and expand on the already emerging theme of starting with the wild-type organisms and making changes a la classical genetic engineering, but at some point crossing a threshold into SB.  This process is underway.</w:t>
      </w:r>
    </w:p>
    <w:p w:rsidR="00CC4DBD" w:rsidRDefault="00CC4DBD">
      <w:pPr>
        <w:jc w:val="both"/>
        <w:rPr>
          <w:rFonts w:cs="Calibri"/>
        </w:rPr>
      </w:pPr>
      <w:r w:rsidRPr="00634DB0">
        <w:rPr>
          <w:rFonts w:cs="Calibri"/>
          <w:color w:val="000000"/>
        </w:rPr>
        <w:t xml:space="preserve">2.  </w:t>
      </w:r>
      <w:r>
        <w:rPr>
          <w:rFonts w:cs="Calibri"/>
          <w:color w:val="000000"/>
        </w:rPr>
        <w:t>T</w:t>
      </w:r>
      <w:r w:rsidRPr="00634DB0">
        <w:rPr>
          <w:rFonts w:cs="Calibri"/>
          <w:color w:val="000000"/>
        </w:rPr>
        <w:t xml:space="preserve">his initial phase will stimulate efforts to establish the best possible chassis (singular and plural) to use for bioremediation.  Depending upon the tasks at hand, different chassis may be required.  For example, operation at high temperatures (above 60 </w:t>
      </w:r>
      <w:r w:rsidRPr="00634DB0">
        <w:rPr>
          <w:rFonts w:cs="Calibri"/>
          <w:color w:val="000000"/>
        </w:rPr>
        <w:sym w:font="Symbol" w:char="F0B0"/>
      </w:r>
      <w:r w:rsidRPr="00634DB0">
        <w:rPr>
          <w:rFonts w:cs="Calibri"/>
          <w:color w:val="000000"/>
        </w:rPr>
        <w:t xml:space="preserve">C, say) will be a very different situation from operating in frigid ocean environments (within a few degrees of 0 </w:t>
      </w:r>
      <w:r w:rsidRPr="00634DB0">
        <w:rPr>
          <w:rFonts w:cs="Calibri"/>
          <w:color w:val="000000"/>
        </w:rPr>
        <w:sym w:font="Symbol" w:char="F0B0"/>
      </w:r>
      <w:r w:rsidRPr="00634DB0">
        <w:rPr>
          <w:rFonts w:cs="Calibri"/>
          <w:color w:val="000000"/>
        </w:rPr>
        <w:t>C).  Not only will reaction rates of catalysis vary markedly between such temperatures, but the characteristics of key cellular constituents will differ (for example, the fluidity and stability of lipid membranes and the behavior of the transmembrane protein</w:t>
      </w:r>
      <w:r w:rsidRPr="00634DB0">
        <w:rPr>
          <w:rFonts w:cs="Calibri"/>
        </w:rPr>
        <w:t xml:space="preserve"> channels that provide for entry and exit of small molecules from cells). It’s fair to say that an ensemble of chassis optimized for different temperature ranges may well be needed.  In addition other variables such as pH (acidity) may impose limiting conditions.</w:t>
      </w:r>
    </w:p>
    <w:p w:rsidR="00CC4DBD" w:rsidRDefault="00CC4DBD">
      <w:pPr>
        <w:jc w:val="both"/>
        <w:rPr>
          <w:rFonts w:cs="Calibri"/>
        </w:rPr>
      </w:pPr>
      <w:r w:rsidRPr="00634DB0">
        <w:rPr>
          <w:rFonts w:cs="Calibri"/>
        </w:rPr>
        <w:t xml:space="preserve">3.  As </w:t>
      </w:r>
      <w:r>
        <w:rPr>
          <w:rFonts w:cs="Calibri"/>
        </w:rPr>
        <w:t xml:space="preserve">has been </w:t>
      </w:r>
      <w:r w:rsidRPr="00634DB0">
        <w:rPr>
          <w:rFonts w:cs="Calibri"/>
        </w:rPr>
        <w:t>discovered for Geobacillus thermodenitrificans, some organisms may profit from having both aerobic (O</w:t>
      </w:r>
      <w:r w:rsidRPr="00634DB0">
        <w:rPr>
          <w:rFonts w:cs="Calibri"/>
          <w:vertAlign w:val="subscript"/>
        </w:rPr>
        <w:t>2</w:t>
      </w:r>
      <w:r w:rsidRPr="00634DB0">
        <w:rPr>
          <w:rFonts w:cs="Calibri"/>
        </w:rPr>
        <w:t>-dependent) and anaerobic metabolic machinery and the ability to sw</w:t>
      </w:r>
      <w:r>
        <w:rPr>
          <w:rFonts w:cs="Calibri"/>
        </w:rPr>
        <w:t>itch between them</w:t>
      </w:r>
      <w:r w:rsidRPr="00634DB0">
        <w:rPr>
          <w:rFonts w:cs="Calibri"/>
        </w:rPr>
        <w:t>.  It would be of interest to survey all the known hydrocarbon-remediating organisms to see how many of them are “facultative aerobes” of this type.</w:t>
      </w:r>
    </w:p>
    <w:p w:rsidR="00CC4DBD" w:rsidRDefault="00CC4DBD">
      <w:pPr>
        <w:jc w:val="both"/>
        <w:rPr>
          <w:rFonts w:cs="Calibri"/>
        </w:rPr>
      </w:pPr>
      <w:r w:rsidRPr="00634DB0">
        <w:rPr>
          <w:rFonts w:cs="Calibri"/>
        </w:rPr>
        <w:t>4.  The ability to produce surfactant(s) might be built into a chassis so as to make an SB oil-remediating organism independent of bacterial consortia that include surfactant producers in order to attain maximum rates of remediation.</w:t>
      </w:r>
    </w:p>
    <w:p w:rsidR="00CC4DBD" w:rsidRDefault="00CC4DBD">
      <w:pPr>
        <w:jc w:val="both"/>
        <w:rPr>
          <w:rFonts w:cs="Calibri"/>
        </w:rPr>
      </w:pPr>
      <w:r w:rsidRPr="00634DB0">
        <w:rPr>
          <w:rFonts w:cs="Calibri"/>
        </w:rPr>
        <w:t>5.  Ability to take up the great variety of remediation substrates (which al</w:t>
      </w:r>
      <w:r>
        <w:rPr>
          <w:rFonts w:cs="Calibri"/>
        </w:rPr>
        <w:t>so serve as nutrients</w:t>
      </w:r>
      <w:r w:rsidRPr="00634DB0">
        <w:rPr>
          <w:rFonts w:cs="Calibri"/>
        </w:rPr>
        <w:t>) might require a suite of cross-membrane transport channel proteins that could be expressed alternately as needed to deal with the particular set of pollutants found at a given location.</w:t>
      </w:r>
    </w:p>
    <w:p w:rsidR="00CC4DBD" w:rsidRDefault="00CC4DBD">
      <w:pPr>
        <w:jc w:val="both"/>
        <w:rPr>
          <w:rFonts w:cs="Calibri"/>
        </w:rPr>
      </w:pPr>
      <w:r w:rsidRPr="00634DB0">
        <w:rPr>
          <w:rFonts w:cs="Calibri"/>
        </w:rPr>
        <w:t>6.  Protection against attacks of viruses and protozoa might call for (again optionally expressed) defensive systems, probably also situated in or on the cell wall and/or plasma membrane</w:t>
      </w:r>
      <w:r w:rsidRPr="00634DB0">
        <w:rPr>
          <w:rStyle w:val="FootnoteReference"/>
          <w:rFonts w:cs="Calibri"/>
        </w:rPr>
        <w:footnoteReference w:id="17"/>
      </w:r>
      <w:r w:rsidRPr="00634DB0">
        <w:rPr>
          <w:rFonts w:cs="Calibri"/>
        </w:rPr>
        <w:t xml:space="preserve"> (the lipid bilayer that separates the intracellular constituents from the external environment).</w:t>
      </w:r>
    </w:p>
    <w:p w:rsidR="00CC4DBD" w:rsidRDefault="00CC4DBD">
      <w:pPr>
        <w:jc w:val="both"/>
        <w:rPr>
          <w:rFonts w:cs="Calibri"/>
        </w:rPr>
      </w:pPr>
    </w:p>
    <w:p w:rsidR="00CC4DBD" w:rsidRDefault="00CC4DBD">
      <w:pPr>
        <w:jc w:val="both"/>
        <w:rPr>
          <w:rFonts w:cs="Calibri"/>
        </w:rPr>
      </w:pPr>
      <w:r w:rsidRPr="00634DB0">
        <w:rPr>
          <w:rFonts w:cs="Calibri"/>
        </w:rPr>
        <w:t>With so m</w:t>
      </w:r>
      <w:r>
        <w:rPr>
          <w:rFonts w:cs="Calibri"/>
        </w:rPr>
        <w:t xml:space="preserve">any variables to consider, it is </w:t>
      </w:r>
      <w:r w:rsidRPr="00634DB0">
        <w:rPr>
          <w:rFonts w:cs="Calibri"/>
        </w:rPr>
        <w:t>clear that some priorities would need to be set and a rational approach taken to exploit SB so as to enhance our capacity to remediate oil spills.  Data is needed so as to specify quantitatively what types of oil spill (including the most common types of oil) have occurred and where.  This might guide the development of maximally useful prototype SB products.</w:t>
      </w:r>
      <w:r>
        <w:rPr>
          <w:rFonts w:cs="Calibri"/>
        </w:rPr>
        <w:t xml:space="preserve">   </w:t>
      </w:r>
      <w:r w:rsidRPr="00634DB0">
        <w:rPr>
          <w:rFonts w:cs="Calibri"/>
        </w:rPr>
        <w:t>Another possibility is that some general features are almost universal (with the exception of the components designed to accomodate variations in environmental conditions) so that a “superchassis” could be designed that would satisfy many of the most common requirements.  Then with a library of</w:t>
      </w:r>
      <w:r>
        <w:rPr>
          <w:rFonts w:cs="Calibri"/>
        </w:rPr>
        <w:t xml:space="preserve"> BioBrick-like parts available </w:t>
      </w:r>
      <w:r w:rsidRPr="00634DB0">
        <w:rPr>
          <w:rFonts w:cs="Calibri"/>
        </w:rPr>
        <w:t>and preliminary exploration of the best means to l</w:t>
      </w:r>
      <w:r>
        <w:rPr>
          <w:rFonts w:cs="Calibri"/>
        </w:rPr>
        <w:t xml:space="preserve">oad them into the superchassis, </w:t>
      </w:r>
      <w:r w:rsidRPr="00634DB0">
        <w:rPr>
          <w:rFonts w:cs="Calibri"/>
        </w:rPr>
        <w:t>it might be possibl</w:t>
      </w:r>
      <w:r>
        <w:rPr>
          <w:rFonts w:cs="Calibri"/>
        </w:rPr>
        <w:t xml:space="preserve">e to tailor-make organisms for specific applications.  </w:t>
      </w:r>
      <w:r w:rsidRPr="00B85E72">
        <w:rPr>
          <w:rFonts w:cs="Calibri"/>
        </w:rPr>
        <w:t xml:space="preserve"> </w:t>
      </w:r>
      <w:r>
        <w:rPr>
          <w:rFonts w:cs="Calibri"/>
        </w:rPr>
        <w:t xml:space="preserve">Developing remediating organisms </w:t>
      </w:r>
      <w:r w:rsidRPr="00634DB0">
        <w:rPr>
          <w:rFonts w:cs="Calibri"/>
        </w:rPr>
        <w:t xml:space="preserve">quickly </w:t>
      </w:r>
      <w:r>
        <w:rPr>
          <w:rFonts w:cs="Calibri"/>
        </w:rPr>
        <w:t xml:space="preserve">that are outfitted </w:t>
      </w:r>
      <w:r w:rsidRPr="00634DB0">
        <w:rPr>
          <w:rFonts w:cs="Calibri"/>
        </w:rPr>
        <w:t>with the precise remediatory capabilities called for by a</w:t>
      </w:r>
      <w:r>
        <w:rPr>
          <w:rFonts w:cs="Calibri"/>
        </w:rPr>
        <w:t xml:space="preserve"> specific accident.  This would </w:t>
      </w:r>
      <w:r w:rsidRPr="00634DB0">
        <w:rPr>
          <w:rFonts w:cs="Calibri"/>
        </w:rPr>
        <w:t>be the ideal long-term situation since many of the features of the standard custom-made organisms would be shared and familiar to workers in the field.</w:t>
      </w:r>
      <w:r w:rsidRPr="00634DB0">
        <w:rPr>
          <w:rFonts w:cs="Calibri"/>
        </w:rPr>
        <w:tab/>
      </w:r>
    </w:p>
    <w:p w:rsidR="00CC4DBD" w:rsidRDefault="00CC4DBD">
      <w:pPr>
        <w:jc w:val="both"/>
        <w:rPr>
          <w:rFonts w:cs="Calibri"/>
          <w:b/>
        </w:rPr>
      </w:pPr>
    </w:p>
    <w:p w:rsidR="00CC4DBD" w:rsidRDefault="00CC4DBD">
      <w:pPr>
        <w:jc w:val="both"/>
        <w:rPr>
          <w:rFonts w:cs="Calibri"/>
          <w:b/>
        </w:rPr>
      </w:pPr>
      <w:r>
        <w:rPr>
          <w:rFonts w:cs="Calibri"/>
          <w:b/>
        </w:rPr>
        <w:br w:type="page"/>
        <w:t>REFERENCES</w:t>
      </w:r>
    </w:p>
    <w:p w:rsidR="00CC4DBD" w:rsidRDefault="00CC4DBD" w:rsidP="00084549">
      <w:pPr>
        <w:rPr>
          <w:rFonts w:cs="Calibri"/>
          <w:b/>
        </w:rPr>
      </w:pPr>
    </w:p>
    <w:p w:rsidR="00CC4DBD" w:rsidRPr="007F6CDE" w:rsidRDefault="00CC4DBD" w:rsidP="00084549">
      <w:pPr>
        <w:rPr>
          <w:rFonts w:cs="Calibri"/>
          <w:b/>
        </w:rPr>
      </w:pPr>
      <w:r w:rsidRPr="007F6CDE">
        <w:rPr>
          <w:rFonts w:cs="Calibri"/>
          <w:b/>
        </w:rPr>
        <w:t>Websites</w:t>
      </w:r>
    </w:p>
    <w:p w:rsidR="00CC4DBD" w:rsidRPr="00194ECE" w:rsidRDefault="00CC4DBD" w:rsidP="00084549">
      <w:pPr>
        <w:ind w:right="-270"/>
        <w:rPr>
          <w:rFonts w:cs="Calibri"/>
          <w:b/>
          <w:sz w:val="20"/>
          <w:szCs w:val="20"/>
        </w:rPr>
      </w:pPr>
      <w:hyperlink r:id="rId31" w:history="1">
        <w:r w:rsidRPr="00194ECE">
          <w:rPr>
            <w:rStyle w:val="Hyperlink"/>
            <w:rFonts w:cs="Calibri"/>
            <w:sz w:val="20"/>
            <w:szCs w:val="20"/>
          </w:rPr>
          <w:t>http://azer.com/aiweb/categories/magazine/ai102_folder/102_articles/102_oil_chronology.html</w:t>
        </w:r>
      </w:hyperlink>
    </w:p>
    <w:p w:rsidR="00CC4DBD" w:rsidRPr="00194ECE" w:rsidRDefault="00CC4DBD" w:rsidP="00084549">
      <w:pPr>
        <w:rPr>
          <w:rFonts w:cs="Calibri"/>
          <w:sz w:val="20"/>
          <w:szCs w:val="20"/>
        </w:rPr>
      </w:pPr>
      <w:hyperlink r:id="rId32" w:history="1">
        <w:r w:rsidRPr="00194ECE">
          <w:rPr>
            <w:rStyle w:val="Hyperlink"/>
            <w:rFonts w:cs="Calibri"/>
            <w:sz w:val="20"/>
            <w:szCs w:val="20"/>
          </w:rPr>
          <w:t>http://en.wikipedia.org/wiki/Environmental_microbiology</w:t>
        </w:r>
      </w:hyperlink>
    </w:p>
    <w:p w:rsidR="00CC4DBD" w:rsidRPr="00194ECE" w:rsidRDefault="00CC4DBD" w:rsidP="00084549">
      <w:pPr>
        <w:rPr>
          <w:rFonts w:cs="Calibri"/>
          <w:sz w:val="20"/>
          <w:szCs w:val="20"/>
        </w:rPr>
      </w:pPr>
      <w:hyperlink r:id="rId33" w:anchor="Oil_biodegradation" w:history="1">
        <w:r w:rsidRPr="00194ECE">
          <w:rPr>
            <w:rStyle w:val="Hyperlink"/>
            <w:rFonts w:cs="Calibri"/>
            <w:sz w:val="20"/>
            <w:szCs w:val="20"/>
          </w:rPr>
          <w:t>http://en.wikipedia.org/wiki/Microbial_biodegradation - Oil_biodegradation</w:t>
        </w:r>
      </w:hyperlink>
    </w:p>
    <w:p w:rsidR="00CC4DBD" w:rsidRPr="00194ECE" w:rsidRDefault="00CC4DBD" w:rsidP="00084549">
      <w:pPr>
        <w:rPr>
          <w:rFonts w:cs="Calibri"/>
          <w:sz w:val="20"/>
          <w:szCs w:val="20"/>
        </w:rPr>
      </w:pPr>
      <w:hyperlink r:id="rId34" w:history="1">
        <w:r w:rsidRPr="00194ECE">
          <w:rPr>
            <w:rStyle w:val="Hyperlink"/>
            <w:rFonts w:cs="Calibri"/>
            <w:sz w:val="20"/>
            <w:szCs w:val="20"/>
          </w:rPr>
          <w:t>http://www.sciencedaily.com/releases/2010/04/100414111018.htm</w:t>
        </w:r>
      </w:hyperlink>
    </w:p>
    <w:p w:rsidR="00CC4DBD" w:rsidRPr="00194ECE" w:rsidRDefault="00CC4DBD" w:rsidP="00084549">
      <w:pPr>
        <w:rPr>
          <w:rFonts w:cs="Calibri"/>
          <w:sz w:val="20"/>
          <w:szCs w:val="20"/>
        </w:rPr>
      </w:pPr>
    </w:p>
    <w:p w:rsidR="00CC4DBD" w:rsidRDefault="00CC4DBD" w:rsidP="00084549">
      <w:pPr>
        <w:rPr>
          <w:rFonts w:cs="Calibri"/>
          <w:b/>
        </w:rPr>
      </w:pPr>
      <w:r w:rsidRPr="007F6CDE">
        <w:rPr>
          <w:rFonts w:cs="Calibri"/>
          <w:b/>
        </w:rPr>
        <w:t>Literature References</w:t>
      </w:r>
    </w:p>
    <w:p w:rsidR="00CC4DBD" w:rsidRPr="007F6CDE" w:rsidRDefault="00CC4DBD" w:rsidP="00084549">
      <w:pPr>
        <w:rPr>
          <w:rFonts w:cs="Calibri"/>
          <w:b/>
        </w:rPr>
      </w:pPr>
    </w:p>
    <w:p w:rsidR="00CC4DBD" w:rsidRPr="00194ECE" w:rsidRDefault="00CC4DBD" w:rsidP="00084549">
      <w:pPr>
        <w:rPr>
          <w:rStyle w:val="rprtid"/>
          <w:rFonts w:cs="Calibri"/>
          <w:color w:val="000000"/>
          <w:sz w:val="20"/>
          <w:szCs w:val="20"/>
        </w:rPr>
      </w:pPr>
      <w:r w:rsidRPr="00194ECE">
        <w:rPr>
          <w:rFonts w:cs="Calibri"/>
          <w:color w:val="000000"/>
          <w:sz w:val="20"/>
          <w:szCs w:val="20"/>
        </w:rPr>
        <w:t xml:space="preserve">Atlas, Ronald M. (1981). </w:t>
      </w:r>
      <w:hyperlink r:id="rId35" w:history="1">
        <w:r w:rsidRPr="00194ECE">
          <w:rPr>
            <w:rStyle w:val="Hyperlink"/>
            <w:rFonts w:cs="Calibri"/>
            <w:i/>
            <w:color w:val="000000"/>
            <w:sz w:val="20"/>
            <w:szCs w:val="20"/>
          </w:rPr>
          <w:t>Microbial degradation of petroleum hydrocarbons: an environmental perspective.</w:t>
        </w:r>
      </w:hyperlink>
      <w:r w:rsidRPr="00194ECE">
        <w:rPr>
          <w:rFonts w:cs="Calibri"/>
          <w:i/>
          <w:color w:val="000000"/>
          <w:sz w:val="20"/>
          <w:szCs w:val="20"/>
        </w:rPr>
        <w:t xml:space="preserve">  </w:t>
      </w:r>
      <w:r w:rsidRPr="00194ECE">
        <w:rPr>
          <w:rStyle w:val="jrnl"/>
          <w:rFonts w:cs="Calibri"/>
          <w:i/>
          <w:color w:val="000000"/>
          <w:sz w:val="20"/>
          <w:szCs w:val="20"/>
        </w:rPr>
        <w:t>Microbiol Rev</w:t>
      </w:r>
      <w:r w:rsidRPr="00194ECE">
        <w:rPr>
          <w:rStyle w:val="src"/>
          <w:rFonts w:cs="Calibri"/>
          <w:i/>
          <w:color w:val="000000"/>
          <w:sz w:val="20"/>
          <w:szCs w:val="20"/>
        </w:rPr>
        <w:t>.</w:t>
      </w:r>
      <w:r w:rsidRPr="00194ECE">
        <w:rPr>
          <w:rStyle w:val="src"/>
          <w:rFonts w:cs="Calibri"/>
          <w:color w:val="000000"/>
          <w:sz w:val="20"/>
          <w:szCs w:val="20"/>
        </w:rPr>
        <w:t xml:space="preserve"> 1981 Mar; </w:t>
      </w:r>
      <w:r w:rsidRPr="00194ECE">
        <w:rPr>
          <w:rStyle w:val="src"/>
          <w:rFonts w:cs="Calibri"/>
          <w:b/>
          <w:color w:val="000000"/>
          <w:sz w:val="20"/>
          <w:szCs w:val="20"/>
        </w:rPr>
        <w:t>45</w:t>
      </w:r>
      <w:r w:rsidRPr="00194ECE">
        <w:rPr>
          <w:rStyle w:val="src"/>
          <w:rFonts w:cs="Calibri"/>
          <w:color w:val="000000"/>
          <w:sz w:val="20"/>
          <w:szCs w:val="20"/>
        </w:rPr>
        <w:t xml:space="preserve">(1): 180-209. Review. No abstract available. </w:t>
      </w:r>
      <w:r w:rsidRPr="00194ECE">
        <w:rPr>
          <w:rStyle w:val="rprtid"/>
          <w:rFonts w:cs="Calibri"/>
          <w:color w:val="000000"/>
          <w:sz w:val="20"/>
          <w:szCs w:val="20"/>
        </w:rPr>
        <w:t>PMID: 7012571  [A good baseline.  Reviews literature starting in 1946.  305 refs.]</w:t>
      </w:r>
    </w:p>
    <w:p w:rsidR="00CC4DBD" w:rsidRDefault="00CC4DBD" w:rsidP="00084549">
      <w:pPr>
        <w:pStyle w:val="authlist"/>
        <w:spacing w:beforeLines="0" w:afterLines="0"/>
        <w:rPr>
          <w:rFonts w:ascii="Calibri" w:hAnsi="Calibri" w:cs="Calibri"/>
          <w:color w:val="000000"/>
        </w:rPr>
      </w:pPr>
    </w:p>
    <w:p w:rsidR="00CC4DBD" w:rsidRPr="00194ECE" w:rsidRDefault="00CC4DBD" w:rsidP="00084549">
      <w:pPr>
        <w:pStyle w:val="authlist"/>
        <w:spacing w:beforeLines="0" w:afterLines="0"/>
        <w:rPr>
          <w:rFonts w:ascii="Calibri" w:hAnsi="Calibri" w:cs="Calibri"/>
          <w:color w:val="000000"/>
        </w:rPr>
      </w:pPr>
      <w:hyperlink r:id="rId36" w:history="1">
        <w:r w:rsidRPr="00194ECE">
          <w:rPr>
            <w:rStyle w:val="Hyperlink"/>
            <w:rFonts w:cs="Calibri"/>
            <w:color w:val="000000"/>
          </w:rPr>
          <w:t>Copley, SD</w:t>
        </w:r>
      </w:hyperlink>
      <w:r w:rsidRPr="00194ECE">
        <w:rPr>
          <w:rFonts w:ascii="Calibri" w:hAnsi="Calibri" w:cs="Calibri"/>
          <w:color w:val="000000"/>
        </w:rPr>
        <w:t xml:space="preserve">. (2009) </w:t>
      </w:r>
      <w:r w:rsidRPr="00194ECE">
        <w:rPr>
          <w:rFonts w:ascii="Calibri" w:hAnsi="Calibri" w:cs="Calibri"/>
          <w:i/>
          <w:color w:val="000000"/>
        </w:rPr>
        <w:t>Evolution of efficient pathways for degradation of anthropogenic chemicals.</w:t>
      </w:r>
    </w:p>
    <w:p w:rsidR="00CC4DBD" w:rsidRPr="00194ECE" w:rsidRDefault="00CC4DBD" w:rsidP="00084549">
      <w:pPr>
        <w:pStyle w:val="citation"/>
        <w:spacing w:beforeLines="0" w:afterLines="0"/>
        <w:rPr>
          <w:rFonts w:ascii="Calibri" w:hAnsi="Calibri" w:cs="Calibri"/>
          <w:color w:val="000000"/>
        </w:rPr>
      </w:pPr>
      <w:hyperlink r:id="rId37" w:history="1">
        <w:r w:rsidRPr="00194ECE">
          <w:rPr>
            <w:rStyle w:val="Hyperlink"/>
            <w:rFonts w:cs="Calibri"/>
            <w:color w:val="000000"/>
          </w:rPr>
          <w:t>Nat Chem Biol.</w:t>
        </w:r>
      </w:hyperlink>
      <w:r w:rsidRPr="00194ECE">
        <w:rPr>
          <w:rFonts w:ascii="Calibri" w:hAnsi="Calibri" w:cs="Calibri"/>
          <w:color w:val="000000"/>
        </w:rPr>
        <w:t xml:space="preserve"> 2009 Aug; 5(8):559-66. Review. </w:t>
      </w:r>
      <w:r w:rsidRPr="00194ECE">
        <w:rPr>
          <w:rStyle w:val="pmid"/>
          <w:rFonts w:ascii="Calibri" w:hAnsi="Calibri" w:cs="Calibri"/>
          <w:color w:val="000000"/>
        </w:rPr>
        <w:t xml:space="preserve">PMID: 19620997  [An erudite, stimulating article that reviews how degradative pathways have evolved in nature and suggests ways that molecular biologists can give nature a little help.  </w:t>
      </w:r>
      <w:r w:rsidRPr="00194ECE">
        <w:rPr>
          <w:rStyle w:val="pmid"/>
          <w:rFonts w:ascii="Calibri" w:hAnsi="Calibri" w:cs="Calibri"/>
          <w:i/>
          <w:color w:val="000000"/>
        </w:rPr>
        <w:t>Presages the step to full-blown synthetic biology</w:t>
      </w:r>
      <w:r w:rsidRPr="00194ECE">
        <w:rPr>
          <w:rStyle w:val="pmid"/>
          <w:rFonts w:ascii="Calibri" w:hAnsi="Calibri" w:cs="Calibri"/>
          <w:color w:val="000000"/>
        </w:rPr>
        <w:t xml:space="preserve"> in this field. 73 refs.]</w:t>
      </w:r>
    </w:p>
    <w:p w:rsidR="00CC4DBD" w:rsidRDefault="00CC4DBD" w:rsidP="00084549">
      <w:pPr>
        <w:rPr>
          <w:rStyle w:val="citationbook"/>
          <w:rFonts w:cs="Calibri"/>
          <w:color w:val="000000"/>
          <w:sz w:val="20"/>
          <w:szCs w:val="20"/>
        </w:rPr>
      </w:pPr>
    </w:p>
    <w:p w:rsidR="00CC4DBD" w:rsidRPr="00194ECE" w:rsidRDefault="00CC4DBD" w:rsidP="00084549">
      <w:pPr>
        <w:rPr>
          <w:rStyle w:val="citationbook"/>
          <w:rFonts w:cs="Calibri"/>
          <w:color w:val="000000"/>
          <w:sz w:val="20"/>
          <w:szCs w:val="20"/>
        </w:rPr>
      </w:pPr>
      <w:r w:rsidRPr="00194ECE">
        <w:rPr>
          <w:rStyle w:val="citationbook"/>
          <w:rFonts w:cs="Calibri"/>
          <w:color w:val="000000"/>
          <w:sz w:val="20"/>
          <w:szCs w:val="20"/>
        </w:rPr>
        <w:t xml:space="preserve">Diaz E (editor) (2008). </w:t>
      </w:r>
      <w:hyperlink r:id="rId38" w:history="1">
        <w:r w:rsidRPr="00194ECE">
          <w:rPr>
            <w:rStyle w:val="Hyperlink"/>
            <w:rFonts w:cs="Calibri"/>
            <w:i/>
            <w:color w:val="000000"/>
            <w:sz w:val="20"/>
            <w:szCs w:val="20"/>
          </w:rPr>
          <w:t>Microbial Biodegradation: Genomics and Molecular Biology</w:t>
        </w:r>
      </w:hyperlink>
      <w:r w:rsidRPr="00194ECE">
        <w:rPr>
          <w:rStyle w:val="citationbook"/>
          <w:rFonts w:cs="Calibri"/>
          <w:color w:val="000000"/>
          <w:sz w:val="20"/>
          <w:szCs w:val="20"/>
        </w:rPr>
        <w:t xml:space="preserve"> (1st ed.). Caister Academic Press. </w:t>
      </w:r>
      <w:hyperlink r:id="rId39" w:history="1">
        <w:r w:rsidRPr="00194ECE">
          <w:rPr>
            <w:rStyle w:val="Hyperlink"/>
            <w:rFonts w:cs="Calibri"/>
            <w:color w:val="000000"/>
            <w:sz w:val="20"/>
            <w:szCs w:val="20"/>
          </w:rPr>
          <w:t>ISBN 978-1-904455-17-2</w:t>
        </w:r>
      </w:hyperlink>
      <w:r w:rsidRPr="00194ECE">
        <w:rPr>
          <w:rStyle w:val="citationbook"/>
          <w:rFonts w:cs="Calibri"/>
          <w:color w:val="000000"/>
          <w:sz w:val="20"/>
          <w:szCs w:val="20"/>
        </w:rPr>
        <w:t xml:space="preserve">. </w:t>
      </w:r>
      <w:hyperlink r:id="rId40" w:history="1">
        <w:r w:rsidRPr="00194ECE">
          <w:rPr>
            <w:rStyle w:val="Hyperlink"/>
            <w:rFonts w:cs="Calibri"/>
            <w:color w:val="000000"/>
            <w:sz w:val="20"/>
            <w:szCs w:val="20"/>
          </w:rPr>
          <w:t>ISBN</w:t>
        </w:r>
      </w:hyperlink>
      <w:r w:rsidRPr="00194ECE">
        <w:rPr>
          <w:rStyle w:val="citationbook"/>
          <w:rFonts w:cs="Calibri"/>
          <w:color w:val="000000"/>
          <w:sz w:val="20"/>
          <w:szCs w:val="20"/>
        </w:rPr>
        <w:t> </w:t>
      </w:r>
      <w:hyperlink r:id="rId41" w:history="1">
        <w:r w:rsidRPr="00194ECE">
          <w:rPr>
            <w:rStyle w:val="Hyperlink"/>
            <w:rFonts w:cs="Calibri"/>
            <w:color w:val="000000"/>
            <w:sz w:val="20"/>
            <w:szCs w:val="20"/>
          </w:rPr>
          <w:t>1904455174</w:t>
        </w:r>
      </w:hyperlink>
      <w:r w:rsidRPr="00194ECE">
        <w:rPr>
          <w:rStyle w:val="printonly"/>
          <w:rFonts w:cs="Calibri"/>
          <w:color w:val="000000"/>
          <w:sz w:val="20"/>
          <w:szCs w:val="20"/>
        </w:rPr>
        <w:t xml:space="preserve">. </w:t>
      </w:r>
      <w:hyperlink r:id="rId42" w:history="1">
        <w:r w:rsidRPr="00194ECE">
          <w:rPr>
            <w:rStyle w:val="Hyperlink"/>
            <w:rFonts w:cs="Calibri"/>
            <w:color w:val="000000"/>
            <w:sz w:val="20"/>
            <w:szCs w:val="20"/>
          </w:rPr>
          <w:t>http://www.horizonpress.com/biod</w:t>
        </w:r>
      </w:hyperlink>
      <w:r w:rsidRPr="00194ECE">
        <w:rPr>
          <w:rStyle w:val="citationbook"/>
          <w:rFonts w:cs="Calibri"/>
          <w:color w:val="000000"/>
          <w:sz w:val="20"/>
          <w:szCs w:val="20"/>
        </w:rPr>
        <w:t xml:space="preserve">.  [Very well compiled set of 12 chapters by leaders in the field. (Sven Panke is co-author of Ch. 12)  About as up-to-date as this kind of summary could be…  Retail price: </w:t>
      </w:r>
      <w:r w:rsidRPr="00194ECE">
        <w:rPr>
          <w:rStyle w:val="citationbook"/>
          <w:rFonts w:cs="Calibri"/>
          <w:i/>
          <w:color w:val="000000"/>
          <w:sz w:val="20"/>
          <w:szCs w:val="20"/>
        </w:rPr>
        <w:t xml:space="preserve">ca. </w:t>
      </w:r>
      <w:r w:rsidRPr="00194ECE">
        <w:rPr>
          <w:rStyle w:val="citationbook"/>
          <w:rFonts w:cs="Calibri"/>
          <w:color w:val="000000"/>
          <w:sz w:val="20"/>
          <w:szCs w:val="20"/>
        </w:rPr>
        <w:t>$300!]</w:t>
      </w:r>
    </w:p>
    <w:p w:rsidR="00CC4DBD" w:rsidRDefault="00CC4DBD" w:rsidP="00084549">
      <w:pPr>
        <w:pStyle w:val="Title"/>
        <w:spacing w:beforeLines="0" w:afterLines="0"/>
        <w:rPr>
          <w:rFonts w:ascii="Calibri" w:hAnsi="Calibri" w:cs="Calibri"/>
          <w:color w:val="000000"/>
        </w:rPr>
      </w:pPr>
    </w:p>
    <w:p w:rsidR="00CC4DBD" w:rsidRPr="00194ECE" w:rsidRDefault="00CC4DBD" w:rsidP="00084549">
      <w:pPr>
        <w:pStyle w:val="Title"/>
        <w:spacing w:beforeLines="0" w:afterLines="0"/>
        <w:rPr>
          <w:rStyle w:val="rprtid"/>
          <w:rFonts w:ascii="Calibri" w:hAnsi="Calibri" w:cs="Calibri"/>
          <w:i/>
          <w:color w:val="000000"/>
        </w:rPr>
      </w:pPr>
      <w:r w:rsidRPr="00194ECE">
        <w:rPr>
          <w:rFonts w:ascii="Calibri" w:hAnsi="Calibri" w:cs="Calibri"/>
          <w:color w:val="000000"/>
        </w:rPr>
        <w:t>Feng L</w:t>
      </w:r>
      <w:r>
        <w:rPr>
          <w:rFonts w:ascii="Calibri" w:hAnsi="Calibri" w:cs="Calibri"/>
          <w:color w:val="000000"/>
        </w:rPr>
        <w:t xml:space="preserve"> et al </w:t>
      </w:r>
      <w:r w:rsidRPr="00194ECE">
        <w:rPr>
          <w:rFonts w:ascii="Calibri" w:hAnsi="Calibri" w:cs="Calibri"/>
          <w:color w:val="000000"/>
        </w:rPr>
        <w:t xml:space="preserve">, (2007) </w:t>
      </w:r>
      <w:hyperlink r:id="rId43" w:history="1">
        <w:r w:rsidRPr="00194ECE">
          <w:rPr>
            <w:rStyle w:val="Hyperlink"/>
            <w:rFonts w:cs="Calibri"/>
            <w:i/>
            <w:color w:val="000000"/>
          </w:rPr>
          <w:t>Genome and proteome of long-chain alkane degrading Geobacillus thermodenitrificans NG80-2 isolated from a deep-subsurface oil reservoir.</w:t>
        </w:r>
      </w:hyperlink>
      <w:r>
        <w:rPr>
          <w:rFonts w:ascii="Calibri" w:hAnsi="Calibri" w:cs="Calibri"/>
          <w:i/>
          <w:color w:val="000000"/>
        </w:rPr>
        <w:t xml:space="preserve">  </w:t>
      </w:r>
      <w:r w:rsidRPr="00766A10">
        <w:rPr>
          <w:rStyle w:val="jrnl"/>
          <w:rFonts w:ascii="Calibri" w:hAnsi="Calibri" w:cs="Calibri"/>
          <w:i/>
          <w:color w:val="000000"/>
          <w:lang w:val="es-MX"/>
        </w:rPr>
        <w:t>Proc Natl Acad Sci U S A</w:t>
      </w:r>
      <w:r w:rsidRPr="00766A10">
        <w:rPr>
          <w:rStyle w:val="src"/>
          <w:rFonts w:ascii="Calibri" w:hAnsi="Calibri" w:cs="Calibri"/>
          <w:i/>
          <w:color w:val="000000"/>
          <w:lang w:val="es-MX"/>
        </w:rPr>
        <w:t>.</w:t>
      </w:r>
      <w:r w:rsidRPr="00766A10">
        <w:rPr>
          <w:rStyle w:val="src"/>
          <w:rFonts w:ascii="Calibri" w:hAnsi="Calibri" w:cs="Calibri"/>
          <w:color w:val="000000"/>
          <w:lang w:val="es-MX"/>
        </w:rPr>
        <w:t xml:space="preserve"> 2007 Mar 27; </w:t>
      </w:r>
      <w:r w:rsidRPr="00766A10">
        <w:rPr>
          <w:rStyle w:val="src"/>
          <w:rFonts w:ascii="Calibri" w:hAnsi="Calibri" w:cs="Calibri"/>
          <w:b/>
          <w:color w:val="000000"/>
          <w:lang w:val="es-MX"/>
        </w:rPr>
        <w:t>104</w:t>
      </w:r>
      <w:r w:rsidRPr="00766A10">
        <w:rPr>
          <w:rStyle w:val="src"/>
          <w:rFonts w:ascii="Calibri" w:hAnsi="Calibri" w:cs="Calibri"/>
          <w:color w:val="000000"/>
          <w:lang w:val="es-MX"/>
        </w:rPr>
        <w:t xml:space="preserve">(13): 5602-7. Epub 2007 Mar 19. </w:t>
      </w:r>
      <w:r w:rsidRPr="00194ECE">
        <w:rPr>
          <w:rStyle w:val="rprtid"/>
          <w:rFonts w:ascii="Calibri" w:hAnsi="Calibri" w:cs="Calibri"/>
          <w:color w:val="000000"/>
        </w:rPr>
        <w:t>PMID: 17372208 [Tour-de-force genome sequencing and analysis of an important hydrocarbon-utilizing bacterium from an oil reservoir in China.  It might be useful as a starting point for engineering all-purpose oil-spill clean-up organisms, and it also contains an important enzyme (LadA) that could be moved into other chassis to facilitate remediation, particularly of heavy, viscous spills.]</w:t>
      </w:r>
    </w:p>
    <w:p w:rsidR="00CC4DBD" w:rsidRPr="00194ECE" w:rsidRDefault="00CC4DBD" w:rsidP="00084549">
      <w:pPr>
        <w:pStyle w:val="Title"/>
        <w:spacing w:beforeLines="0" w:afterLines="0"/>
        <w:rPr>
          <w:rFonts w:ascii="Calibri" w:hAnsi="Calibri" w:cs="Calibri"/>
          <w:i/>
          <w:color w:val="000000"/>
        </w:rPr>
      </w:pPr>
      <w:r w:rsidRPr="00194ECE">
        <w:rPr>
          <w:rFonts w:ascii="Calibri" w:hAnsi="Calibri" w:cs="Calibri"/>
          <w:color w:val="000000"/>
        </w:rPr>
        <w:t>Head IM, Jones DM, Röling WF. (2006)</w:t>
      </w:r>
      <w:r w:rsidRPr="00194ECE">
        <w:rPr>
          <w:rFonts w:ascii="Calibri" w:hAnsi="Calibri" w:cs="Calibri"/>
          <w:i/>
          <w:color w:val="000000"/>
        </w:rPr>
        <w:t xml:space="preserve"> </w:t>
      </w:r>
      <w:hyperlink r:id="rId44" w:history="1">
        <w:r w:rsidRPr="00194ECE">
          <w:rPr>
            <w:rStyle w:val="Hyperlink"/>
            <w:rFonts w:cs="Calibri"/>
            <w:i/>
            <w:color w:val="000000"/>
          </w:rPr>
          <w:t>Marine microorganisms make a meal of oil.</w:t>
        </w:r>
      </w:hyperlink>
    </w:p>
    <w:p w:rsidR="00CC4DBD" w:rsidRPr="00194ECE" w:rsidRDefault="00CC4DBD" w:rsidP="00084549">
      <w:pPr>
        <w:pStyle w:val="aux"/>
        <w:spacing w:beforeLines="0" w:afterLines="0"/>
        <w:rPr>
          <w:rFonts w:ascii="Calibri" w:hAnsi="Calibri" w:cs="Calibri"/>
          <w:color w:val="000000"/>
        </w:rPr>
      </w:pPr>
      <w:r w:rsidRPr="00194ECE">
        <w:rPr>
          <w:rStyle w:val="jrnl"/>
          <w:rFonts w:ascii="Calibri" w:hAnsi="Calibri" w:cs="Calibri"/>
          <w:i/>
          <w:color w:val="000000"/>
        </w:rPr>
        <w:t>Nat Rev Microbiol</w:t>
      </w:r>
      <w:r w:rsidRPr="00194ECE">
        <w:rPr>
          <w:rStyle w:val="src"/>
          <w:rFonts w:ascii="Calibri" w:hAnsi="Calibri" w:cs="Calibri"/>
          <w:color w:val="000000"/>
        </w:rPr>
        <w:t xml:space="preserve">. 2006 Mar;4(3): 173-82. Review. </w:t>
      </w:r>
      <w:r w:rsidRPr="00194ECE">
        <w:rPr>
          <w:rStyle w:val="rprtid"/>
          <w:rFonts w:ascii="Calibri" w:hAnsi="Calibri" w:cs="Calibri"/>
          <w:color w:val="000000"/>
        </w:rPr>
        <w:t>PMID: 16489346 [A useful, stimulating review of the distribution of oxic marine organisms that play important roles in degrading hydrocarbons (with an emphasis on alkanes).  Discusses their phylogeny and some aspects of their behavior in natural environments as well as laboratory “microcosms.”  Particularly helpful because it discusses the time-course changes in the distribution of species during remediation and points out the importance of nutrient supplementation (“amendment”)]</w:t>
      </w:r>
    </w:p>
    <w:p w:rsidR="00CC4DBD" w:rsidRPr="00194ECE" w:rsidRDefault="00CC4DBD" w:rsidP="00084549">
      <w:pPr>
        <w:pStyle w:val="aux"/>
        <w:spacing w:beforeLines="0" w:afterLines="0"/>
        <w:rPr>
          <w:rStyle w:val="citationbook"/>
          <w:rFonts w:ascii="Calibri" w:hAnsi="Calibri" w:cs="Calibri"/>
          <w:color w:val="000000"/>
        </w:rPr>
      </w:pPr>
      <w:r w:rsidRPr="00194ECE">
        <w:rPr>
          <w:rStyle w:val="citationbook"/>
          <w:rFonts w:ascii="Calibri" w:hAnsi="Calibri" w:cs="Calibri"/>
          <w:color w:val="000000"/>
        </w:rPr>
        <w:t xml:space="preserve">Jain, PK, Gupta, VK, Gaur, RK, Lowry, M, Jaroli, DP, Chauhan, UK (2011) </w:t>
      </w:r>
      <w:r w:rsidRPr="00194ECE">
        <w:rPr>
          <w:rFonts w:ascii="Calibri" w:hAnsi="Calibri" w:cs="Calibri"/>
          <w:i/>
          <w:color w:val="000000"/>
          <w:u w:val="single"/>
        </w:rPr>
        <w:t>Bioremediation of Petroleum Oil Contaminated Soil and Water</w:t>
      </w:r>
    </w:p>
    <w:p w:rsidR="00CC4DBD" w:rsidRDefault="00CC4DBD" w:rsidP="00084549">
      <w:pPr>
        <w:rPr>
          <w:rFonts w:cs="Calibri"/>
          <w:i/>
          <w:color w:val="000000"/>
          <w:sz w:val="20"/>
          <w:szCs w:val="20"/>
        </w:rPr>
      </w:pPr>
    </w:p>
    <w:p w:rsidR="00CC4DBD" w:rsidRPr="00194ECE" w:rsidRDefault="00CC4DBD" w:rsidP="00084549">
      <w:pPr>
        <w:rPr>
          <w:rFonts w:cs="Calibri"/>
          <w:i/>
          <w:color w:val="000000"/>
          <w:sz w:val="20"/>
          <w:szCs w:val="20"/>
        </w:rPr>
      </w:pPr>
      <w:r w:rsidRPr="00194ECE">
        <w:rPr>
          <w:rFonts w:cs="Calibri"/>
          <w:i/>
          <w:color w:val="000000"/>
          <w:sz w:val="20"/>
          <w:szCs w:val="20"/>
        </w:rPr>
        <w:t>Research Journal of Environmental Toxicology</w:t>
      </w:r>
      <w:r w:rsidRPr="00194ECE">
        <w:rPr>
          <w:rFonts w:cs="Calibri"/>
          <w:color w:val="000000"/>
          <w:sz w:val="20"/>
          <w:szCs w:val="20"/>
        </w:rPr>
        <w:t xml:space="preserve"> (2011 )| Volume: 5 | Issue: 1 | Page No.: 1-26; DOI: </w:t>
      </w:r>
      <w:hyperlink r:id="rId45" w:tgtFrame="_blank" w:history="1">
        <w:r w:rsidRPr="00194ECE">
          <w:rPr>
            <w:rFonts w:cs="Calibri"/>
            <w:color w:val="000000"/>
            <w:sz w:val="20"/>
            <w:szCs w:val="20"/>
          </w:rPr>
          <w:t>10.3923/rjet.2011.1.26</w:t>
        </w:r>
      </w:hyperlink>
      <w:r w:rsidRPr="00194ECE">
        <w:rPr>
          <w:rFonts w:cs="Calibri"/>
          <w:color w:val="000000"/>
          <w:sz w:val="20"/>
          <w:szCs w:val="20"/>
        </w:rPr>
        <w:t xml:space="preserve">  [The most recent review on this topic – with an extensive bibliography.  Not particularly well written, but a reasonably thorough survey.]</w:t>
      </w:r>
    </w:p>
    <w:p w:rsidR="00CC4DBD" w:rsidRDefault="00CC4DBD" w:rsidP="00084549">
      <w:pPr>
        <w:pStyle w:val="rprtbody"/>
        <w:spacing w:beforeLines="0" w:afterLines="0"/>
        <w:rPr>
          <w:rFonts w:ascii="Calibri" w:hAnsi="Calibri" w:cs="Calibri"/>
          <w:color w:val="000000"/>
        </w:rPr>
      </w:pPr>
    </w:p>
    <w:p w:rsidR="00CC4DBD" w:rsidRPr="00194ECE" w:rsidRDefault="00CC4DBD" w:rsidP="00084549">
      <w:pPr>
        <w:pStyle w:val="rprtbody"/>
        <w:spacing w:beforeLines="0" w:afterLines="0"/>
        <w:rPr>
          <w:rStyle w:val="rprtid"/>
          <w:rFonts w:ascii="Calibri" w:hAnsi="Calibri" w:cs="Calibri"/>
          <w:color w:val="000000"/>
        </w:rPr>
      </w:pPr>
      <w:r w:rsidRPr="00194ECE">
        <w:rPr>
          <w:rFonts w:ascii="Calibri" w:hAnsi="Calibri" w:cs="Calibri"/>
          <w:color w:val="000000"/>
        </w:rPr>
        <w:t xml:space="preserve">Rojo, F. (2009)  </w:t>
      </w:r>
      <w:hyperlink r:id="rId46" w:history="1">
        <w:r w:rsidRPr="00194ECE">
          <w:rPr>
            <w:rStyle w:val="Hyperlink"/>
            <w:rFonts w:cs="Calibri"/>
            <w:i/>
            <w:color w:val="000000"/>
          </w:rPr>
          <w:t>Degradation of alkanes by bacteria.</w:t>
        </w:r>
      </w:hyperlink>
      <w:r>
        <w:rPr>
          <w:rFonts w:ascii="Calibri" w:hAnsi="Calibri" w:cs="Calibri"/>
          <w:i/>
          <w:color w:val="000000"/>
        </w:rPr>
        <w:t xml:space="preserve"> </w:t>
      </w:r>
      <w:r w:rsidRPr="00194ECE">
        <w:rPr>
          <w:rStyle w:val="jrnl"/>
          <w:rFonts w:ascii="Calibri" w:hAnsi="Calibri" w:cs="Calibri"/>
          <w:color w:val="000000"/>
        </w:rPr>
        <w:t>Environ Microbiol</w:t>
      </w:r>
      <w:r w:rsidRPr="00194ECE">
        <w:rPr>
          <w:rStyle w:val="src"/>
          <w:rFonts w:ascii="Calibri" w:hAnsi="Calibri" w:cs="Calibri"/>
          <w:color w:val="000000"/>
        </w:rPr>
        <w:t xml:space="preserve">. 2009 Oct; 11(10):2477-90. Review. </w:t>
      </w:r>
      <w:r w:rsidRPr="00194ECE">
        <w:rPr>
          <w:rStyle w:val="rprtid"/>
          <w:rFonts w:ascii="Calibri" w:hAnsi="Calibri" w:cs="Calibri"/>
          <w:color w:val="000000"/>
        </w:rPr>
        <w:t>PMID: 19807712  [A good, focused treatment that highlights the details of the specific mechanisms used by microorganisms to degrade alkanes.  A recipe book for synthetic biologists looking to pick up useful sets of biodegradative genes.]</w:t>
      </w:r>
    </w:p>
    <w:p w:rsidR="00CC4DBD" w:rsidRPr="007F6CDE" w:rsidRDefault="00CC4DBD" w:rsidP="00084549">
      <w:pPr>
        <w:pStyle w:val="aux"/>
        <w:spacing w:beforeLines="0" w:afterLines="0"/>
        <w:rPr>
          <w:rStyle w:val="rprtid"/>
          <w:rFonts w:ascii="Calibri" w:hAnsi="Calibri" w:cs="Calibri"/>
          <w:color w:val="008000"/>
          <w:sz w:val="22"/>
          <w:szCs w:val="22"/>
        </w:rPr>
      </w:pPr>
    </w:p>
    <w:p w:rsidR="00CC4DBD" w:rsidRDefault="00CC4DBD" w:rsidP="00084549">
      <w:pPr>
        <w:ind w:left="360"/>
        <w:jc w:val="center"/>
        <w:rPr>
          <w:b/>
          <w:bCs/>
        </w:rPr>
      </w:pPr>
    </w:p>
    <w:p w:rsidR="00CC4DBD" w:rsidRPr="005A2D13" w:rsidRDefault="00CC4DBD" w:rsidP="002639A4">
      <w:pPr>
        <w:jc w:val="center"/>
        <w:rPr>
          <w:b/>
          <w:bCs/>
          <w:u w:val="single"/>
        </w:rPr>
      </w:pPr>
      <w:r>
        <w:rPr>
          <w:b/>
          <w:bCs/>
        </w:rPr>
        <w:t>##### END SECTION 6 #####</w:t>
      </w:r>
      <w:r>
        <w:rPr>
          <w:rFonts w:cs="Calibri"/>
          <w:b/>
          <w:sz w:val="20"/>
          <w:szCs w:val="20"/>
        </w:rPr>
        <w:br w:type="page"/>
      </w:r>
      <w:r w:rsidRPr="005A2D13">
        <w:rPr>
          <w:b/>
          <w:bCs/>
          <w:u w:val="single"/>
        </w:rPr>
        <w:t xml:space="preserve">SECTION </w:t>
      </w:r>
      <w:r>
        <w:rPr>
          <w:b/>
          <w:bCs/>
          <w:u w:val="single"/>
        </w:rPr>
        <w:t>7</w:t>
      </w:r>
      <w:r w:rsidRPr="005A2D13">
        <w:rPr>
          <w:b/>
          <w:bCs/>
          <w:u w:val="single"/>
        </w:rPr>
        <w:t xml:space="preserve">:  SUMMARY OF </w:t>
      </w:r>
      <w:r>
        <w:rPr>
          <w:b/>
          <w:bCs/>
          <w:u w:val="single"/>
        </w:rPr>
        <w:t>POTENTIAL REGULATORY AUTHORITY</w:t>
      </w:r>
    </w:p>
    <w:p w:rsidR="00CC4DBD" w:rsidRPr="005A2D13" w:rsidRDefault="00CC4DBD" w:rsidP="001000AC">
      <w:pPr>
        <w:pStyle w:val="Heading"/>
        <w:rPr>
          <w:rFonts w:ascii="Calibri" w:hAnsi="Calibri"/>
          <w:b/>
          <w:bCs/>
          <w:sz w:val="22"/>
          <w:szCs w:val="22"/>
        </w:rPr>
      </w:pPr>
      <w:r>
        <w:rPr>
          <w:rFonts w:ascii="Calibri" w:hAnsi="Calibri"/>
          <w:b/>
          <w:bCs/>
          <w:sz w:val="22"/>
          <w:szCs w:val="22"/>
        </w:rPr>
        <w:t>UNITED STATES</w:t>
      </w:r>
    </w:p>
    <w:p w:rsidR="00CC4DBD" w:rsidRPr="005A2D13" w:rsidRDefault="00CC4DBD" w:rsidP="001000AC">
      <w:pPr>
        <w:rPr>
          <w:rFonts w:cs="Arial"/>
        </w:rPr>
      </w:pPr>
      <w:r w:rsidRPr="005A2D13">
        <w:t xml:space="preserve">Genetically modified microorganisms, such as the arsenic detecting bacteria, are regulated by the EPA under the Toxic Substances Control Act (TSCA). Parts </w:t>
      </w:r>
      <w:r w:rsidRPr="005A2D13">
        <w:rPr>
          <w:rFonts w:cs="Arial"/>
        </w:rPr>
        <w:t xml:space="preserve">700, 720, 721, 723, and 725 of </w:t>
      </w:r>
      <w:r w:rsidRPr="005A2D13">
        <w:t>Title 40 of the Code of Federal Regulations (</w:t>
      </w:r>
      <w:r w:rsidRPr="005A2D13">
        <w:rPr>
          <w:rFonts w:cs="Arial"/>
          <w:i/>
          <w:iCs/>
        </w:rPr>
        <w:t>Microbial Products of Biotechnology; Final Regulation Under the Toxic Substances Control Act</w:t>
      </w:r>
      <w:r w:rsidRPr="005A2D13">
        <w:rPr>
          <w:rFonts w:cs="Arial"/>
        </w:rPr>
        <w:t xml:space="preserve">) implements TSCA. </w:t>
      </w:r>
    </w:p>
    <w:p w:rsidR="00CC4DBD" w:rsidRPr="005A2D13" w:rsidRDefault="00CC4DBD" w:rsidP="001000AC"/>
    <w:p w:rsidR="00CC4DBD" w:rsidRPr="005A2D13" w:rsidRDefault="00CC4DBD" w:rsidP="001000AC">
      <w:pPr>
        <w:spacing w:line="100" w:lineRule="atLeast"/>
        <w:jc w:val="both"/>
      </w:pPr>
      <w:r w:rsidRPr="005A2D13">
        <w:t>To be approved for commercialization a manufacturer must supply the EPA with a Microbial Commercial Activity Notice (MCAN) at least 90 days before intended manufacture will begin. The information to be included in the MCAN is specified under 40 CFR §725.155 and §725.160. Necessary information includes:</w:t>
      </w:r>
    </w:p>
    <w:p w:rsidR="00CC4DBD" w:rsidRPr="005A2D13" w:rsidRDefault="00CC4DBD" w:rsidP="001000AC">
      <w:pPr>
        <w:spacing w:line="100" w:lineRule="atLeast"/>
        <w:jc w:val="both"/>
      </w:pPr>
    </w:p>
    <w:p w:rsidR="00CC4DBD" w:rsidRPr="005A2D13" w:rsidRDefault="00CC4DBD" w:rsidP="001000AC">
      <w:pPr>
        <w:spacing w:line="100" w:lineRule="atLeast"/>
        <w:jc w:val="both"/>
        <w:rPr>
          <w:rFonts w:cs="Arial"/>
          <w:b/>
          <w:bCs/>
        </w:rPr>
      </w:pPr>
      <w:r w:rsidRPr="005A2D13">
        <w:rPr>
          <w:rFonts w:cs="Arial"/>
          <w:b/>
          <w:bCs/>
        </w:rPr>
        <w:t>§ 725.155 Information to be included in the MCAN.</w:t>
      </w:r>
    </w:p>
    <w:p w:rsidR="00CC4DBD" w:rsidRPr="005A2D13" w:rsidRDefault="00CC4DBD" w:rsidP="001000AC">
      <w:pPr>
        <w:widowControl w:val="0"/>
        <w:numPr>
          <w:ilvl w:val="0"/>
          <w:numId w:val="15"/>
          <w:numberingChange w:id="41" w:author="Unknown" w:date="2011-01-12T15:27:00Z" w:original="%1:1:0:."/>
        </w:numPr>
        <w:suppressAutoHyphens/>
        <w:spacing w:line="100" w:lineRule="atLeast"/>
        <w:jc w:val="both"/>
      </w:pPr>
      <w:r w:rsidRPr="005A2D13">
        <w:t>Microorganism identity information:</w:t>
      </w:r>
    </w:p>
    <w:p w:rsidR="00CC4DBD" w:rsidRPr="005A2D13" w:rsidRDefault="00CC4DBD" w:rsidP="001000AC">
      <w:pPr>
        <w:widowControl w:val="0"/>
        <w:numPr>
          <w:ilvl w:val="1"/>
          <w:numId w:val="15"/>
          <w:numberingChange w:id="42" w:author="Unknown" w:date="2011-01-12T15:27:00Z" w:original="%2:1:4:)"/>
        </w:numPr>
        <w:suppressAutoHyphens/>
        <w:spacing w:line="100" w:lineRule="atLeast"/>
        <w:jc w:val="both"/>
      </w:pPr>
      <w:r w:rsidRPr="005A2D13">
        <w:t xml:space="preserve">Description of the recipient microorganism and new microorganism – taxonomic  data of recipient microorganism; morphological and physiological features of new microorganism. </w:t>
      </w:r>
    </w:p>
    <w:p w:rsidR="00CC4DBD" w:rsidRPr="005A2D13" w:rsidRDefault="00CC4DBD" w:rsidP="001000AC">
      <w:pPr>
        <w:widowControl w:val="0"/>
        <w:numPr>
          <w:ilvl w:val="1"/>
          <w:numId w:val="15"/>
          <w:numberingChange w:id="43" w:author="Unknown" w:date="2011-01-12T15:27:00Z" w:original="%2:2:4:)"/>
        </w:numPr>
        <w:suppressAutoHyphens/>
        <w:spacing w:line="100" w:lineRule="atLeast"/>
        <w:jc w:val="both"/>
      </w:pPr>
      <w:r w:rsidRPr="005A2D13">
        <w:t>Genetic construction of new microorganism – taxonomic data of donor microorganism; description of traits for which new microorganism has been developed; a detailed technical description of the construction of the new microorganism (description of introduced genetic material; how this is expected to affect behavior; expression, alteration, and stability of introduced genetic material; description of regulatory and structural genes).</w:t>
      </w:r>
    </w:p>
    <w:p w:rsidR="00CC4DBD" w:rsidRPr="005A2D13" w:rsidRDefault="00CC4DBD" w:rsidP="001000AC">
      <w:pPr>
        <w:widowControl w:val="0"/>
        <w:numPr>
          <w:ilvl w:val="1"/>
          <w:numId w:val="15"/>
          <w:numberingChange w:id="44" w:author="Unknown" w:date="2011-01-12T15:27:00Z" w:original="%2:3:4:)"/>
        </w:numPr>
        <w:suppressAutoHyphens/>
        <w:spacing w:line="100" w:lineRule="atLeast"/>
        <w:jc w:val="both"/>
      </w:pPr>
      <w:r w:rsidRPr="005A2D13">
        <w:t>Phenotypic and ecological characteristics – habitat, geographic distribution, and source of recipient microorganism; survival and dissemination under relevant environmental conditions, including methods of detection; description of anticipated biological interactions on other organisms; anticipated involvement in bio-geochemical or biological cycling processes.</w:t>
      </w:r>
    </w:p>
    <w:p w:rsidR="00CC4DBD" w:rsidRPr="005A2D13" w:rsidRDefault="00CC4DBD" w:rsidP="001000AC">
      <w:pPr>
        <w:widowControl w:val="0"/>
        <w:numPr>
          <w:ilvl w:val="0"/>
          <w:numId w:val="15"/>
          <w:numberingChange w:id="45" w:author="Unknown" w:date="2011-01-12T15:27:00Z" w:original="%1:2:0:."/>
        </w:numPr>
        <w:suppressAutoHyphens/>
        <w:spacing w:line="100" w:lineRule="atLeast"/>
        <w:jc w:val="both"/>
      </w:pPr>
      <w:r w:rsidRPr="005A2D13">
        <w:t>Byproducts: description of byproducts of manufacturer, use, or disposal of microorganism.</w:t>
      </w:r>
    </w:p>
    <w:p w:rsidR="00CC4DBD" w:rsidRPr="005A2D13" w:rsidRDefault="00CC4DBD" w:rsidP="001000AC">
      <w:pPr>
        <w:widowControl w:val="0"/>
        <w:numPr>
          <w:ilvl w:val="0"/>
          <w:numId w:val="15"/>
          <w:numberingChange w:id="46" w:author="Unknown" w:date="2011-01-12T15:27:00Z" w:original="%1:3:0:."/>
        </w:numPr>
        <w:suppressAutoHyphens/>
        <w:spacing w:line="100" w:lineRule="atLeast"/>
        <w:jc w:val="both"/>
      </w:pPr>
      <w:r w:rsidRPr="005A2D13">
        <w:t>Total production volume: maximum amount during first year, including an estimation of viability.</w:t>
      </w:r>
    </w:p>
    <w:p w:rsidR="00CC4DBD" w:rsidRPr="005A2D13" w:rsidRDefault="00CC4DBD" w:rsidP="001000AC">
      <w:pPr>
        <w:widowControl w:val="0"/>
        <w:numPr>
          <w:ilvl w:val="0"/>
          <w:numId w:val="15"/>
          <w:numberingChange w:id="47" w:author="Unknown" w:date="2011-01-12T15:27:00Z" w:original="%1:4:0:."/>
        </w:numPr>
        <w:suppressAutoHyphens/>
        <w:spacing w:line="100" w:lineRule="atLeast"/>
        <w:jc w:val="both"/>
      </w:pPr>
      <w:r w:rsidRPr="005A2D13">
        <w:t>Use information: description of intended use.</w:t>
      </w:r>
    </w:p>
    <w:p w:rsidR="00CC4DBD" w:rsidRPr="005A2D13" w:rsidRDefault="00CC4DBD" w:rsidP="001000AC">
      <w:pPr>
        <w:widowControl w:val="0"/>
        <w:numPr>
          <w:ilvl w:val="0"/>
          <w:numId w:val="15"/>
          <w:numberingChange w:id="48" w:author="Unknown" w:date="2011-01-12T15:27:00Z" w:original="%1:5:0:."/>
        </w:numPr>
        <w:suppressAutoHyphens/>
        <w:spacing w:line="100" w:lineRule="atLeast"/>
        <w:jc w:val="both"/>
      </w:pPr>
      <w:r w:rsidRPr="005A2D13">
        <w:t>Worker exposure and environmental release:</w:t>
      </w:r>
    </w:p>
    <w:p w:rsidR="00CC4DBD" w:rsidRPr="005A2D13" w:rsidRDefault="00CC4DBD" w:rsidP="001000AC">
      <w:pPr>
        <w:widowControl w:val="0"/>
        <w:numPr>
          <w:ilvl w:val="1"/>
          <w:numId w:val="15"/>
          <w:numberingChange w:id="49" w:author="Unknown" w:date="2011-01-12T15:27:00Z" w:original="%2:1:4:)"/>
        </w:numPr>
        <w:suppressAutoHyphens/>
        <w:spacing w:line="100" w:lineRule="atLeast"/>
        <w:jc w:val="both"/>
      </w:pPr>
      <w:r w:rsidRPr="005A2D13">
        <w:t xml:space="preserve">For sites controlled by the submitter: identity of sites where new microorganism will be manufactured, processed or used; a process description of each manufacture, process or use; worker exposure information; information on the release of the new microorganism into the environment; description of the intended transport; procedures for disposal; </w:t>
      </w:r>
    </w:p>
    <w:p w:rsidR="00CC4DBD" w:rsidRPr="005A2D13" w:rsidRDefault="00CC4DBD" w:rsidP="001000AC">
      <w:pPr>
        <w:widowControl w:val="0"/>
        <w:numPr>
          <w:ilvl w:val="1"/>
          <w:numId w:val="15"/>
          <w:numberingChange w:id="50" w:author="Unknown" w:date="2011-01-12T15:27:00Z" w:original="%2:2:4:)"/>
        </w:numPr>
        <w:suppressAutoHyphens/>
        <w:spacing w:line="100" w:lineRule="atLeast"/>
        <w:jc w:val="both"/>
      </w:pPr>
      <w:r w:rsidRPr="005A2D13">
        <w:t xml:space="preserve">For sites not controlled by the submitter: a description and estimation of the above listed factors in the use of the new microorganism. </w:t>
      </w:r>
    </w:p>
    <w:p w:rsidR="00CC4DBD" w:rsidRPr="005A2D13" w:rsidRDefault="00CC4DBD" w:rsidP="001000AC">
      <w:pPr>
        <w:spacing w:line="100" w:lineRule="atLeast"/>
        <w:jc w:val="both"/>
      </w:pPr>
    </w:p>
    <w:p w:rsidR="00CC4DBD" w:rsidRPr="005A2D13" w:rsidRDefault="00CC4DBD" w:rsidP="001000AC">
      <w:pPr>
        <w:spacing w:line="100" w:lineRule="atLeast"/>
        <w:jc w:val="both"/>
        <w:rPr>
          <w:rFonts w:cs="Arial"/>
          <w:b/>
          <w:bCs/>
        </w:rPr>
      </w:pPr>
      <w:r w:rsidRPr="005A2D13">
        <w:rPr>
          <w:rFonts w:cs="Arial"/>
          <w:b/>
          <w:bCs/>
        </w:rPr>
        <w:t>§ 725.160 Submission of health and environmental effects data.</w:t>
      </w:r>
    </w:p>
    <w:p w:rsidR="00CC4DBD" w:rsidRPr="005A2D13" w:rsidRDefault="00CC4DBD" w:rsidP="001000AC">
      <w:pPr>
        <w:widowControl w:val="0"/>
        <w:numPr>
          <w:ilvl w:val="0"/>
          <w:numId w:val="16"/>
          <w:numberingChange w:id="51" w:author="Unknown" w:date="2011-01-12T15:27:00Z" w:original="%1:1:0:."/>
        </w:numPr>
        <w:suppressAutoHyphens/>
        <w:spacing w:line="100" w:lineRule="atLeast"/>
        <w:jc w:val="both"/>
        <w:rPr>
          <w:bCs/>
        </w:rPr>
      </w:pPr>
      <w:r w:rsidRPr="005A2D13">
        <w:rPr>
          <w:bCs/>
        </w:rPr>
        <w:t xml:space="preserve">Test data on the new microorganism: </w:t>
      </w:r>
    </w:p>
    <w:p w:rsidR="00CC4DBD" w:rsidRPr="005A2D13" w:rsidRDefault="00CC4DBD" w:rsidP="001000AC">
      <w:pPr>
        <w:widowControl w:val="0"/>
        <w:numPr>
          <w:ilvl w:val="1"/>
          <w:numId w:val="16"/>
          <w:numberingChange w:id="52" w:author="Unknown" w:date="2011-01-12T15:27:00Z" w:original="%2:1:4:)"/>
        </w:numPr>
        <w:suppressAutoHyphens/>
        <w:spacing w:line="100" w:lineRule="atLeast"/>
        <w:jc w:val="both"/>
        <w:rPr>
          <w:bCs/>
        </w:rPr>
      </w:pPr>
      <w:r w:rsidRPr="005A2D13">
        <w:rPr>
          <w:bCs/>
        </w:rPr>
        <w:t>All test data in the submitter's possession relating to health or environmental effects of the manufacture, use or disposal of the new microorganism.</w:t>
      </w:r>
    </w:p>
    <w:p w:rsidR="00CC4DBD" w:rsidRPr="005A2D13" w:rsidRDefault="00CC4DBD" w:rsidP="001000AC">
      <w:pPr>
        <w:widowControl w:val="0"/>
        <w:numPr>
          <w:ilvl w:val="1"/>
          <w:numId w:val="16"/>
          <w:numberingChange w:id="53" w:author="Unknown" w:date="2011-01-12T15:27:00Z" w:original="%2:2:4:)"/>
        </w:numPr>
        <w:suppressAutoHyphens/>
        <w:spacing w:line="100" w:lineRule="atLeast"/>
        <w:jc w:val="both"/>
        <w:rPr>
          <w:bCs/>
        </w:rPr>
      </w:pPr>
      <w:r w:rsidRPr="005A2D13">
        <w:rPr>
          <w:bCs/>
        </w:rPr>
        <w:t xml:space="preserve">The following types of test data must be submitted: health effects data; ecological effects data; physical and chemical properties data; environmental fate characteristics; monitoring data related to human exposure or environmental release. </w:t>
      </w:r>
    </w:p>
    <w:p w:rsidR="00CC4DBD" w:rsidRPr="005A2D13" w:rsidRDefault="00CC4DBD" w:rsidP="001000AC">
      <w:pPr>
        <w:widowControl w:val="0"/>
        <w:numPr>
          <w:ilvl w:val="1"/>
          <w:numId w:val="16"/>
          <w:numberingChange w:id="54" w:author="Unknown" w:date="2011-01-12T15:27:00Z" w:original="%2:3:4:)"/>
        </w:numPr>
        <w:suppressAutoHyphens/>
        <w:spacing w:line="100" w:lineRule="atLeast"/>
        <w:jc w:val="both"/>
        <w:rPr>
          <w:bCs/>
        </w:rPr>
      </w:pPr>
      <w:r w:rsidRPr="005A2D13">
        <w:rPr>
          <w:bCs/>
        </w:rPr>
        <w:t xml:space="preserve">If the above test data does not exist in the open scientific literature the manufacturer must submit the full report (including experimental methods and </w:t>
      </w:r>
      <w:r w:rsidRPr="005A2D13">
        <w:t>materials, results, discussion and data analysis, conclusions, references, and the name and address of the laboratory that developed the data),</w:t>
      </w:r>
      <w:r w:rsidRPr="005A2D13">
        <w:rPr>
          <w:bCs/>
        </w:rPr>
        <w:t xml:space="preserve"> otherwise a standard literature citation is sufficient. </w:t>
      </w:r>
    </w:p>
    <w:p w:rsidR="00CC4DBD" w:rsidRPr="005A2D13" w:rsidRDefault="00CC4DBD" w:rsidP="001000AC">
      <w:pPr>
        <w:pStyle w:val="Heading"/>
        <w:pageBreakBefore/>
        <w:rPr>
          <w:rFonts w:ascii="Calibri" w:hAnsi="Calibri"/>
          <w:b/>
          <w:bCs/>
          <w:sz w:val="22"/>
          <w:szCs w:val="22"/>
        </w:rPr>
      </w:pPr>
      <w:r>
        <w:rPr>
          <w:rFonts w:ascii="Calibri" w:hAnsi="Calibri"/>
          <w:b/>
          <w:bCs/>
          <w:sz w:val="22"/>
          <w:szCs w:val="22"/>
        </w:rPr>
        <w:t>EUROPEAN UNION</w:t>
      </w:r>
    </w:p>
    <w:p w:rsidR="00CC4DBD" w:rsidRPr="005A2D13" w:rsidRDefault="00CC4DBD" w:rsidP="001000AC">
      <w:r w:rsidRPr="005A2D13">
        <w:t>EU regulates deliberate release of genetically modified organisms by statutory law, in Directive 2001/18/EC. Part C is specific to the placing on the market of GMOs as or in products. Before a GMO is placed on the market for the first time, a notification must be submitted to the competent authority of the Member State where such commercialization is intended. Part C – Article 13 – Section 2 specifies the required information in the notification, which is further specified in Annex II and III A. Necessary information includes:</w:t>
      </w:r>
    </w:p>
    <w:p w:rsidR="00CC4DBD" w:rsidRPr="005A2D13" w:rsidRDefault="00CC4DBD" w:rsidP="001000AC">
      <w:pPr>
        <w:spacing w:line="100" w:lineRule="atLeast"/>
        <w:jc w:val="both"/>
        <w:rPr>
          <w:u w:val="single"/>
        </w:rPr>
      </w:pPr>
    </w:p>
    <w:p w:rsidR="00CC4DBD" w:rsidRPr="005A2D13" w:rsidRDefault="00CC4DBD" w:rsidP="001000AC">
      <w:pPr>
        <w:spacing w:line="100" w:lineRule="atLeast"/>
        <w:jc w:val="both"/>
        <w:rPr>
          <w:b/>
          <w:bCs/>
        </w:rPr>
      </w:pPr>
      <w:r w:rsidRPr="005A2D13">
        <w:rPr>
          <w:b/>
          <w:bCs/>
        </w:rPr>
        <w:t>Annex II Environmental risk assessment</w:t>
      </w:r>
    </w:p>
    <w:p w:rsidR="00CC4DBD" w:rsidRPr="005A2D13" w:rsidRDefault="00CC4DBD" w:rsidP="001000AC">
      <w:pPr>
        <w:spacing w:line="100" w:lineRule="atLeast"/>
        <w:jc w:val="both"/>
      </w:pPr>
      <w:r w:rsidRPr="005A2D13">
        <w:t>A full environmental risk assessment will have to be included in the notification. The types of information that are considered important for performing the risk assessment include:</w:t>
      </w:r>
    </w:p>
    <w:p w:rsidR="00CC4DBD" w:rsidRPr="005A2D13" w:rsidRDefault="00CC4DBD" w:rsidP="001000AC">
      <w:pPr>
        <w:spacing w:line="100" w:lineRule="atLeast"/>
        <w:jc w:val="both"/>
      </w:pPr>
    </w:p>
    <w:p w:rsidR="00CC4DBD" w:rsidRPr="005A2D13" w:rsidRDefault="00CC4DBD" w:rsidP="001000AC">
      <w:pPr>
        <w:widowControl w:val="0"/>
        <w:numPr>
          <w:ilvl w:val="0"/>
          <w:numId w:val="17"/>
          <w:numberingChange w:id="55" w:author="Unknown" w:date="2011-01-12T15:27:00Z" w:original="%1:1:0:."/>
        </w:numPr>
        <w:suppressAutoHyphens/>
        <w:spacing w:line="100" w:lineRule="atLeast"/>
        <w:jc w:val="both"/>
      </w:pPr>
      <w:r w:rsidRPr="005A2D13">
        <w:t>The recipient organism</w:t>
      </w:r>
    </w:p>
    <w:p w:rsidR="00CC4DBD" w:rsidRPr="005A2D13" w:rsidRDefault="00CC4DBD" w:rsidP="001000AC">
      <w:pPr>
        <w:widowControl w:val="0"/>
        <w:numPr>
          <w:ilvl w:val="0"/>
          <w:numId w:val="17"/>
          <w:numberingChange w:id="56" w:author="Unknown" w:date="2011-01-12T15:27:00Z" w:original="%1:2:0:."/>
        </w:numPr>
        <w:suppressAutoHyphens/>
        <w:spacing w:line="100" w:lineRule="atLeast"/>
        <w:jc w:val="both"/>
      </w:pPr>
      <w:r w:rsidRPr="005A2D13">
        <w:t>The genetic modification</w:t>
      </w:r>
    </w:p>
    <w:p w:rsidR="00CC4DBD" w:rsidRPr="005A2D13" w:rsidRDefault="00CC4DBD" w:rsidP="001000AC">
      <w:pPr>
        <w:widowControl w:val="0"/>
        <w:numPr>
          <w:ilvl w:val="0"/>
          <w:numId w:val="17"/>
          <w:numberingChange w:id="57" w:author="Unknown" w:date="2011-01-12T15:27:00Z" w:original="%1:3:0:."/>
        </w:numPr>
        <w:suppressAutoHyphens/>
        <w:spacing w:line="100" w:lineRule="atLeast"/>
        <w:jc w:val="both"/>
      </w:pPr>
      <w:r w:rsidRPr="005A2D13">
        <w:t>The genetically modified organism</w:t>
      </w:r>
    </w:p>
    <w:p w:rsidR="00CC4DBD" w:rsidRPr="005A2D13" w:rsidRDefault="00CC4DBD" w:rsidP="001000AC">
      <w:pPr>
        <w:widowControl w:val="0"/>
        <w:numPr>
          <w:ilvl w:val="0"/>
          <w:numId w:val="17"/>
          <w:numberingChange w:id="58" w:author="Unknown" w:date="2011-01-12T15:27:00Z" w:original="%1:4:0:."/>
        </w:numPr>
        <w:suppressAutoHyphens/>
        <w:spacing w:line="100" w:lineRule="atLeast"/>
        <w:jc w:val="both"/>
      </w:pPr>
      <w:r w:rsidRPr="005A2D13">
        <w:t>The intended use and its scale</w:t>
      </w:r>
    </w:p>
    <w:p w:rsidR="00CC4DBD" w:rsidRPr="005A2D13" w:rsidRDefault="00CC4DBD" w:rsidP="001000AC">
      <w:pPr>
        <w:widowControl w:val="0"/>
        <w:numPr>
          <w:ilvl w:val="0"/>
          <w:numId w:val="17"/>
          <w:numberingChange w:id="59" w:author="Unknown" w:date="2011-01-12T15:27:00Z" w:original="%1:5:0:."/>
        </w:numPr>
        <w:suppressAutoHyphens/>
        <w:spacing w:line="100" w:lineRule="atLeast"/>
        <w:jc w:val="both"/>
      </w:pPr>
      <w:r w:rsidRPr="005A2D13">
        <w:t>The potential receiving environment</w:t>
      </w:r>
    </w:p>
    <w:p w:rsidR="00CC4DBD" w:rsidRPr="005A2D13" w:rsidRDefault="00CC4DBD" w:rsidP="001000AC">
      <w:pPr>
        <w:widowControl w:val="0"/>
        <w:numPr>
          <w:ilvl w:val="0"/>
          <w:numId w:val="17"/>
          <w:numberingChange w:id="60" w:author="Unknown" w:date="2011-01-12T15:27:00Z" w:original="%1:6:0:."/>
        </w:numPr>
        <w:suppressAutoHyphens/>
        <w:spacing w:line="100" w:lineRule="atLeast"/>
        <w:jc w:val="both"/>
      </w:pPr>
      <w:r w:rsidRPr="005A2D13">
        <w:t>The interactions between the above</w:t>
      </w:r>
    </w:p>
    <w:p w:rsidR="00CC4DBD" w:rsidRPr="005A2D13" w:rsidRDefault="00CC4DBD" w:rsidP="001000AC">
      <w:pPr>
        <w:spacing w:line="100" w:lineRule="atLeast"/>
        <w:jc w:val="both"/>
      </w:pPr>
    </w:p>
    <w:p w:rsidR="00CC4DBD" w:rsidRPr="005A2D13" w:rsidRDefault="00CC4DBD" w:rsidP="001000AC">
      <w:pPr>
        <w:spacing w:line="100" w:lineRule="atLeast"/>
        <w:jc w:val="both"/>
      </w:pPr>
      <w:r w:rsidRPr="005A2D13">
        <w:t>Steps necessary to do a proper environmental risk assessment include:</w:t>
      </w:r>
    </w:p>
    <w:p w:rsidR="00CC4DBD" w:rsidRPr="005A2D13" w:rsidRDefault="00CC4DBD" w:rsidP="001000AC">
      <w:pPr>
        <w:spacing w:line="100" w:lineRule="atLeast"/>
        <w:jc w:val="both"/>
      </w:pPr>
    </w:p>
    <w:p w:rsidR="00CC4DBD" w:rsidRPr="005A2D13" w:rsidRDefault="00CC4DBD" w:rsidP="001000AC">
      <w:pPr>
        <w:widowControl w:val="0"/>
        <w:numPr>
          <w:ilvl w:val="0"/>
          <w:numId w:val="18"/>
          <w:numberingChange w:id="61" w:author="Unknown" w:date="2011-01-12T15:27:00Z" w:original="%1:1:0:."/>
        </w:numPr>
        <w:suppressAutoHyphens/>
        <w:spacing w:line="100" w:lineRule="atLeast"/>
        <w:jc w:val="both"/>
      </w:pPr>
      <w:r w:rsidRPr="005A2D13">
        <w:t>Identification of the characteristics which may cause adverse effects (disease and allergy to humans, plants and animals; effects on dynamics of species in the receiving environment; effects on bio-geochemistry) and a description of the mechanisms that affect the possibility of adverse effects (spread of GMO in environment, gene transfer, genetic instability, interactions with other organisms).</w:t>
      </w:r>
    </w:p>
    <w:p w:rsidR="00CC4DBD" w:rsidRPr="005A2D13" w:rsidRDefault="00CC4DBD" w:rsidP="001000AC">
      <w:pPr>
        <w:widowControl w:val="0"/>
        <w:numPr>
          <w:ilvl w:val="0"/>
          <w:numId w:val="18"/>
          <w:numberingChange w:id="62" w:author="Unknown" w:date="2011-01-12T15:27:00Z" w:original="%1:2:0:."/>
        </w:numPr>
        <w:suppressAutoHyphens/>
        <w:spacing w:line="100" w:lineRule="atLeast"/>
        <w:jc w:val="both"/>
      </w:pPr>
      <w:r w:rsidRPr="005A2D13">
        <w:t xml:space="preserve">Evaluation of potential consequences of each adverse effect. </w:t>
      </w:r>
    </w:p>
    <w:p w:rsidR="00CC4DBD" w:rsidRPr="005A2D13" w:rsidRDefault="00CC4DBD" w:rsidP="001000AC">
      <w:pPr>
        <w:widowControl w:val="0"/>
        <w:numPr>
          <w:ilvl w:val="0"/>
          <w:numId w:val="18"/>
          <w:numberingChange w:id="63" w:author="Unknown" w:date="2011-01-12T15:27:00Z" w:original="%1:3:0:."/>
        </w:numPr>
        <w:suppressAutoHyphens/>
        <w:spacing w:line="100" w:lineRule="atLeast"/>
        <w:jc w:val="both"/>
      </w:pPr>
      <w:r w:rsidRPr="005A2D13">
        <w:t xml:space="preserve">Evaluation of the likelihood of the occurrence of each identified adverse effect. </w:t>
      </w:r>
    </w:p>
    <w:p w:rsidR="00CC4DBD" w:rsidRPr="005A2D13" w:rsidRDefault="00CC4DBD" w:rsidP="001000AC">
      <w:pPr>
        <w:widowControl w:val="0"/>
        <w:numPr>
          <w:ilvl w:val="0"/>
          <w:numId w:val="18"/>
          <w:numberingChange w:id="64" w:author="Unknown" w:date="2011-01-12T15:27:00Z" w:original="%1:4:0:."/>
        </w:numPr>
        <w:suppressAutoHyphens/>
        <w:spacing w:line="100" w:lineRule="atLeast"/>
        <w:jc w:val="both"/>
      </w:pPr>
      <w:r w:rsidRPr="005A2D13">
        <w:t>Estimation of the risk posed by each identified characteristic of the GMO.</w:t>
      </w:r>
    </w:p>
    <w:p w:rsidR="00CC4DBD" w:rsidRPr="005A2D13" w:rsidRDefault="00CC4DBD" w:rsidP="001000AC">
      <w:pPr>
        <w:widowControl w:val="0"/>
        <w:numPr>
          <w:ilvl w:val="0"/>
          <w:numId w:val="18"/>
          <w:numberingChange w:id="65" w:author="Unknown" w:date="2011-01-12T15:27:00Z" w:original="%1:5:0:."/>
        </w:numPr>
        <w:suppressAutoHyphens/>
        <w:spacing w:line="100" w:lineRule="atLeast"/>
        <w:jc w:val="both"/>
      </w:pPr>
      <w:r w:rsidRPr="005A2D13">
        <w:t>Application of management strategies for risks of the commercialization of the GMO.</w:t>
      </w:r>
    </w:p>
    <w:p w:rsidR="00CC4DBD" w:rsidRPr="005A2D13" w:rsidRDefault="00CC4DBD" w:rsidP="001000AC">
      <w:pPr>
        <w:widowControl w:val="0"/>
        <w:numPr>
          <w:ilvl w:val="0"/>
          <w:numId w:val="18"/>
          <w:numberingChange w:id="66" w:author="Unknown" w:date="2011-01-12T15:27:00Z" w:original="%1:6:0:."/>
        </w:numPr>
        <w:suppressAutoHyphens/>
        <w:spacing w:line="100" w:lineRule="atLeast"/>
        <w:jc w:val="both"/>
      </w:pPr>
      <w:r w:rsidRPr="005A2D13">
        <w:t>Determination of the overall risk of the GMO, with risk management strategies taken into account.</w:t>
      </w:r>
    </w:p>
    <w:p w:rsidR="00CC4DBD" w:rsidRPr="005A2D13" w:rsidRDefault="00CC4DBD" w:rsidP="001000AC">
      <w:pPr>
        <w:spacing w:line="100" w:lineRule="atLeast"/>
        <w:jc w:val="both"/>
      </w:pPr>
    </w:p>
    <w:p w:rsidR="00CC4DBD" w:rsidRPr="005A2D13" w:rsidRDefault="00CC4DBD" w:rsidP="001000AC">
      <w:pPr>
        <w:spacing w:line="100" w:lineRule="atLeast"/>
        <w:jc w:val="both"/>
        <w:rPr>
          <w:b/>
          <w:bCs/>
        </w:rPr>
      </w:pPr>
      <w:r w:rsidRPr="005A2D13">
        <w:rPr>
          <w:b/>
          <w:bCs/>
        </w:rPr>
        <w:t>Annex III A Information required in notifications concerning releases of genetically modified organisms other than higher plants</w:t>
      </w:r>
    </w:p>
    <w:p w:rsidR="00CC4DBD" w:rsidRPr="005A2D13" w:rsidRDefault="00CC4DBD" w:rsidP="001000AC">
      <w:pPr>
        <w:spacing w:line="100" w:lineRule="atLeast"/>
        <w:jc w:val="both"/>
        <w:rPr>
          <w:b/>
          <w:bCs/>
        </w:rPr>
      </w:pPr>
    </w:p>
    <w:p w:rsidR="00CC4DBD" w:rsidRPr="005A2D13" w:rsidRDefault="00CC4DBD" w:rsidP="001000AC">
      <w:pPr>
        <w:widowControl w:val="0"/>
        <w:numPr>
          <w:ilvl w:val="0"/>
          <w:numId w:val="19"/>
          <w:numberingChange w:id="67" w:author="Unknown" w:date="2011-01-12T15:27:00Z" w:original="%1:1:0:."/>
        </w:numPr>
        <w:suppressAutoHyphens/>
        <w:spacing w:line="100" w:lineRule="atLeast"/>
        <w:jc w:val="both"/>
      </w:pPr>
      <w:r w:rsidRPr="005A2D13">
        <w:t>Information relating to the GMO:</w:t>
      </w:r>
    </w:p>
    <w:p w:rsidR="00CC4DBD" w:rsidRPr="005A2D13" w:rsidRDefault="00CC4DBD" w:rsidP="001000AC">
      <w:pPr>
        <w:widowControl w:val="0"/>
        <w:numPr>
          <w:ilvl w:val="1"/>
          <w:numId w:val="19"/>
          <w:numberingChange w:id="68" w:author="Unknown" w:date="2011-01-12T15:27:00Z" w:original="%2:1:4:)"/>
        </w:numPr>
        <w:suppressAutoHyphens/>
        <w:spacing w:line="100" w:lineRule="atLeast"/>
        <w:jc w:val="both"/>
      </w:pPr>
      <w:r w:rsidRPr="005A2D13">
        <w:t>Characteristics of the donor and the recipient – taxonomy; phenotypic and genetic markers; geographic distribution and natural habitat; organisms to which gene transfer is known to occur under natural conditions; genetic stability; pathological, ecological, and physiological traits.</w:t>
      </w:r>
    </w:p>
    <w:p w:rsidR="00CC4DBD" w:rsidRPr="005A2D13" w:rsidRDefault="00CC4DBD" w:rsidP="001000AC">
      <w:pPr>
        <w:widowControl w:val="0"/>
        <w:numPr>
          <w:ilvl w:val="1"/>
          <w:numId w:val="19"/>
          <w:numberingChange w:id="69" w:author="Unknown" w:date="2011-01-12T15:27:00Z" w:original="%2:2:4:)"/>
        </w:numPr>
        <w:suppressAutoHyphens/>
        <w:spacing w:line="100" w:lineRule="atLeast"/>
        <w:jc w:val="both"/>
      </w:pPr>
      <w:r w:rsidRPr="005A2D13">
        <w:t>Characteristics of the vector</w:t>
      </w:r>
    </w:p>
    <w:p w:rsidR="00CC4DBD" w:rsidRPr="005A2D13" w:rsidRDefault="00CC4DBD" w:rsidP="001000AC">
      <w:pPr>
        <w:widowControl w:val="0"/>
        <w:numPr>
          <w:ilvl w:val="1"/>
          <w:numId w:val="19"/>
          <w:numberingChange w:id="70" w:author="Unknown" w:date="2011-01-12T15:27:00Z" w:original="%2:3:4:)"/>
        </w:numPr>
        <w:suppressAutoHyphens/>
        <w:spacing w:line="100" w:lineRule="atLeast"/>
        <w:jc w:val="both"/>
      </w:pPr>
      <w:r w:rsidRPr="005A2D13">
        <w:t xml:space="preserve">Characteristics of the modified organism – information relating to the genetic modification (methods; vector construction; methods and criteria used for selection; purity of insert from unknown sequences; sequence, functional identity and location of the altered </w:t>
      </w:r>
      <w:r w:rsidRPr="00303586">
        <w:t>nucleic acids),</w:t>
      </w:r>
      <w:r w:rsidRPr="005A2D13">
        <w:t xml:space="preserve"> information of the final GMO (genetic traits, structure of vector, genetic stability, rate and level of expression of new genetic material, activity of expressed protein, identification techniques, considerations for human, animal and plant health)</w:t>
      </w:r>
    </w:p>
    <w:p w:rsidR="00CC4DBD" w:rsidRPr="005A2D13" w:rsidRDefault="00CC4DBD" w:rsidP="001000AC">
      <w:pPr>
        <w:widowControl w:val="0"/>
        <w:numPr>
          <w:ilvl w:val="0"/>
          <w:numId w:val="19"/>
          <w:numberingChange w:id="71" w:author="Unknown" w:date="2011-01-12T15:27:00Z" w:original="%1:2:0:."/>
        </w:numPr>
        <w:suppressAutoHyphens/>
        <w:spacing w:line="100" w:lineRule="atLeast"/>
        <w:jc w:val="both"/>
      </w:pPr>
      <w:r w:rsidRPr="005A2D13">
        <w:t>Information relating to the conditions of release and the receiving environment:</w:t>
      </w:r>
    </w:p>
    <w:p w:rsidR="00CC4DBD" w:rsidRPr="005A2D13" w:rsidRDefault="00CC4DBD" w:rsidP="001000AC">
      <w:pPr>
        <w:widowControl w:val="0"/>
        <w:numPr>
          <w:ilvl w:val="1"/>
          <w:numId w:val="19"/>
          <w:numberingChange w:id="72" w:author="Unknown" w:date="2011-01-12T15:27:00Z" w:original="%2:1:4:)"/>
        </w:numPr>
        <w:suppressAutoHyphens/>
        <w:spacing w:line="100" w:lineRule="atLeast"/>
        <w:jc w:val="both"/>
      </w:pPr>
      <w:r w:rsidRPr="005A2D13">
        <w:t>Information on the release – description of the site; dates; size; quantity of the GMO etc)</w:t>
      </w:r>
    </w:p>
    <w:p w:rsidR="00CC4DBD" w:rsidRPr="005A2D13" w:rsidRDefault="00CC4DBD" w:rsidP="001000AC">
      <w:pPr>
        <w:widowControl w:val="0"/>
        <w:numPr>
          <w:ilvl w:val="1"/>
          <w:numId w:val="19"/>
          <w:numberingChange w:id="73" w:author="Unknown" w:date="2011-01-12T15:27:00Z" w:original="%2:2:4:)"/>
        </w:numPr>
        <w:suppressAutoHyphens/>
        <w:spacing w:line="100" w:lineRule="atLeast"/>
        <w:jc w:val="both"/>
      </w:pPr>
      <w:r w:rsidRPr="005A2D13">
        <w:t>Information on the environment – geographical location; proximity to humans; comparison with natural habitat of organism).</w:t>
      </w:r>
    </w:p>
    <w:p w:rsidR="00CC4DBD" w:rsidRPr="005A2D13" w:rsidRDefault="00CC4DBD" w:rsidP="001000AC">
      <w:pPr>
        <w:widowControl w:val="0"/>
        <w:numPr>
          <w:ilvl w:val="0"/>
          <w:numId w:val="19"/>
          <w:numberingChange w:id="74" w:author="Unknown" w:date="2011-01-12T15:27:00Z" w:original="%1:3:0:."/>
        </w:numPr>
        <w:suppressAutoHyphens/>
        <w:spacing w:line="100" w:lineRule="atLeast"/>
        <w:jc w:val="both"/>
      </w:pPr>
      <w:r w:rsidRPr="005A2D13">
        <w:t>Information relating to the interactions between the GMO and the environment:</w:t>
      </w:r>
    </w:p>
    <w:p w:rsidR="00CC4DBD" w:rsidRPr="005A2D13" w:rsidRDefault="00CC4DBD" w:rsidP="001000AC">
      <w:pPr>
        <w:widowControl w:val="0"/>
        <w:numPr>
          <w:ilvl w:val="1"/>
          <w:numId w:val="19"/>
          <w:numberingChange w:id="75" w:author="Unknown" w:date="2011-01-12T15:27:00Z" w:original="%2:1:4:)"/>
        </w:numPr>
        <w:suppressAutoHyphens/>
        <w:spacing w:line="100" w:lineRule="atLeast"/>
        <w:jc w:val="both"/>
      </w:pPr>
      <w:r w:rsidRPr="005A2D13">
        <w:t>Characteristics affecting survival, multiplication and dissemination</w:t>
      </w:r>
    </w:p>
    <w:p w:rsidR="00CC4DBD" w:rsidRPr="005A2D13" w:rsidRDefault="00CC4DBD" w:rsidP="001000AC">
      <w:pPr>
        <w:widowControl w:val="0"/>
        <w:numPr>
          <w:ilvl w:val="1"/>
          <w:numId w:val="19"/>
          <w:numberingChange w:id="76" w:author="Unknown" w:date="2011-01-12T15:27:00Z" w:original="%2:2:4:)"/>
        </w:numPr>
        <w:suppressAutoHyphens/>
        <w:spacing w:line="100" w:lineRule="atLeast"/>
        <w:jc w:val="both"/>
      </w:pPr>
      <w:r w:rsidRPr="005A2D13">
        <w:t>Interactions with the environment – predicted habitat; studies of behavior of GMO conducted in simulated natural environments; genetic transfer capability; description of ecosystems where GMO would be disseminated; routes of biological dispersal etc)</w:t>
      </w:r>
    </w:p>
    <w:p w:rsidR="00CC4DBD" w:rsidRPr="005A2D13" w:rsidRDefault="00CC4DBD" w:rsidP="001000AC">
      <w:pPr>
        <w:widowControl w:val="0"/>
        <w:numPr>
          <w:ilvl w:val="0"/>
          <w:numId w:val="19"/>
          <w:numberingChange w:id="77" w:author="Unknown" w:date="2011-01-12T15:27:00Z" w:original="%1:4:0:."/>
        </w:numPr>
        <w:suppressAutoHyphens/>
        <w:spacing w:line="100" w:lineRule="atLeast"/>
        <w:jc w:val="both"/>
      </w:pPr>
      <w:r w:rsidRPr="005A2D13">
        <w:t>Information on monitoring, control, waste treatment and emergency response plans</w:t>
      </w:r>
    </w:p>
    <w:p w:rsidR="00CC4DBD" w:rsidRPr="005A2D13" w:rsidRDefault="00CC4DBD" w:rsidP="001000AC">
      <w:pPr>
        <w:spacing w:line="100" w:lineRule="atLeast"/>
        <w:jc w:val="both"/>
      </w:pPr>
    </w:p>
    <w:p w:rsidR="00CC4DBD" w:rsidRPr="005A2D13" w:rsidRDefault="00CC4DBD" w:rsidP="001000AC">
      <w:pPr>
        <w:spacing w:line="100" w:lineRule="atLeast"/>
        <w:jc w:val="both"/>
        <w:rPr>
          <w:b/>
          <w:bCs/>
        </w:rPr>
      </w:pPr>
      <w:r w:rsidRPr="005A2D13">
        <w:rPr>
          <w:b/>
          <w:bCs/>
        </w:rPr>
        <w:t>Annex IV Additional Information</w:t>
      </w:r>
    </w:p>
    <w:p w:rsidR="00CC4DBD" w:rsidRPr="005A2D13" w:rsidRDefault="00CC4DBD" w:rsidP="001000AC">
      <w:pPr>
        <w:spacing w:line="100" w:lineRule="atLeast"/>
        <w:jc w:val="both"/>
      </w:pPr>
      <w:r w:rsidRPr="005A2D13">
        <w:t>For GMOs for commercialized as products some additional information is required, such as:</w:t>
      </w:r>
    </w:p>
    <w:p w:rsidR="00CC4DBD" w:rsidRPr="005A2D13" w:rsidRDefault="00CC4DBD" w:rsidP="001000AC">
      <w:pPr>
        <w:spacing w:line="100" w:lineRule="atLeast"/>
        <w:jc w:val="both"/>
      </w:pPr>
    </w:p>
    <w:p w:rsidR="00CC4DBD" w:rsidRPr="005A2D13" w:rsidRDefault="00CC4DBD" w:rsidP="001000AC">
      <w:pPr>
        <w:widowControl w:val="0"/>
        <w:numPr>
          <w:ilvl w:val="0"/>
          <w:numId w:val="20"/>
          <w:numberingChange w:id="78" w:author="Unknown" w:date="2011-01-12T15:27:00Z" w:original="%1:1:0:."/>
        </w:numPr>
        <w:suppressAutoHyphens/>
        <w:spacing w:line="100" w:lineRule="atLeast"/>
        <w:jc w:val="both"/>
      </w:pPr>
      <w:r w:rsidRPr="005A2D13">
        <w:t>Commercial names</w:t>
      </w:r>
    </w:p>
    <w:p w:rsidR="00CC4DBD" w:rsidRPr="005A2D13" w:rsidRDefault="00CC4DBD" w:rsidP="001000AC">
      <w:pPr>
        <w:widowControl w:val="0"/>
        <w:numPr>
          <w:ilvl w:val="0"/>
          <w:numId w:val="20"/>
          <w:numberingChange w:id="79" w:author="Unknown" w:date="2011-01-12T15:27:00Z" w:original="%1:2:0:."/>
        </w:numPr>
        <w:suppressAutoHyphens/>
        <w:spacing w:line="100" w:lineRule="atLeast"/>
        <w:jc w:val="both"/>
      </w:pPr>
      <w:r w:rsidRPr="005A2D13">
        <w:t>Description of intended use and geographical area of use</w:t>
      </w:r>
    </w:p>
    <w:p w:rsidR="00CC4DBD" w:rsidRPr="005A2D13" w:rsidRDefault="00CC4DBD" w:rsidP="001000AC">
      <w:pPr>
        <w:widowControl w:val="0"/>
        <w:numPr>
          <w:ilvl w:val="0"/>
          <w:numId w:val="20"/>
          <w:numberingChange w:id="80" w:author="Unknown" w:date="2011-01-12T15:27:00Z" w:original="%1:3:0:."/>
        </w:numPr>
        <w:suppressAutoHyphens/>
        <w:spacing w:line="100" w:lineRule="atLeast"/>
        <w:jc w:val="both"/>
      </w:pPr>
      <w:r w:rsidRPr="005A2D13">
        <w:t>Intended area of use (general public as consumers, industry, agriculture etc)</w:t>
      </w:r>
    </w:p>
    <w:p w:rsidR="00CC4DBD" w:rsidRPr="005A2D13" w:rsidRDefault="00CC4DBD" w:rsidP="001000AC">
      <w:pPr>
        <w:widowControl w:val="0"/>
        <w:numPr>
          <w:ilvl w:val="0"/>
          <w:numId w:val="20"/>
          <w:numberingChange w:id="81" w:author="Unknown" w:date="2011-01-12T15:27:00Z" w:original="%1:4:0:."/>
        </w:numPr>
        <w:suppressAutoHyphens/>
        <w:spacing w:line="100" w:lineRule="atLeast"/>
        <w:jc w:val="both"/>
      </w:pPr>
      <w:r w:rsidRPr="005A2D13">
        <w:t>Detection and identification for post-marketing surveillance.</w:t>
      </w:r>
    </w:p>
    <w:p w:rsidR="00CC4DBD" w:rsidRPr="005A2D13" w:rsidRDefault="00CC4DBD" w:rsidP="001000AC">
      <w:pPr>
        <w:widowControl w:val="0"/>
        <w:numPr>
          <w:ilvl w:val="0"/>
          <w:numId w:val="20"/>
          <w:numberingChange w:id="82" w:author="Unknown" w:date="2011-01-12T15:27:00Z" w:original="%1:5:0:."/>
        </w:numPr>
        <w:suppressAutoHyphens/>
        <w:spacing w:line="100" w:lineRule="atLeast"/>
        <w:jc w:val="both"/>
      </w:pPr>
      <w:r w:rsidRPr="005A2D13">
        <w:t>Proposed labeling</w:t>
      </w:r>
    </w:p>
    <w:p w:rsidR="00CC4DBD" w:rsidRPr="005A2D13" w:rsidRDefault="00CC4DBD" w:rsidP="001000AC">
      <w:pPr>
        <w:widowControl w:val="0"/>
        <w:numPr>
          <w:ilvl w:val="0"/>
          <w:numId w:val="20"/>
          <w:numberingChange w:id="83" w:author="Unknown" w:date="2011-01-12T15:27:00Z" w:original="%1:6:0:."/>
        </w:numPr>
        <w:suppressAutoHyphens/>
        <w:spacing w:line="100" w:lineRule="atLeast"/>
        <w:jc w:val="both"/>
      </w:pPr>
      <w:r w:rsidRPr="005A2D13">
        <w:t>Measures to be taken in case of unintended release or misuse</w:t>
      </w:r>
    </w:p>
    <w:p w:rsidR="00CC4DBD" w:rsidRPr="005A2D13" w:rsidRDefault="00CC4DBD" w:rsidP="001000AC">
      <w:pPr>
        <w:widowControl w:val="0"/>
        <w:numPr>
          <w:ilvl w:val="0"/>
          <w:numId w:val="20"/>
          <w:numberingChange w:id="84" w:author="Unknown" w:date="2011-01-12T15:27:00Z" w:original="%1:7:0:."/>
        </w:numPr>
        <w:suppressAutoHyphens/>
        <w:spacing w:line="100" w:lineRule="atLeast"/>
        <w:jc w:val="both"/>
      </w:pPr>
      <w:r w:rsidRPr="005A2D13">
        <w:t xml:space="preserve">Instructions for storage and handling. </w:t>
      </w:r>
    </w:p>
    <w:p w:rsidR="00CC4DBD" w:rsidRPr="005A2D13" w:rsidRDefault="00CC4DBD" w:rsidP="001000AC">
      <w:pPr>
        <w:spacing w:line="100" w:lineRule="atLeast"/>
        <w:jc w:val="both"/>
      </w:pPr>
    </w:p>
    <w:p w:rsidR="00CC4DBD" w:rsidRPr="005A2D13" w:rsidRDefault="00CC4DBD" w:rsidP="001000AC">
      <w:pPr>
        <w:spacing w:line="100" w:lineRule="atLeast"/>
        <w:jc w:val="both"/>
      </w:pPr>
      <w:r w:rsidRPr="005A2D13">
        <w:t>It is a bit unclear exactly how long the entire process for getting consent from the Commission and the Member State(s) will take, since the notification must be sent to several parties who participate in a number of discussions and decisions, but somewhere between six and twelve months seems plausible.</w:t>
      </w:r>
    </w:p>
    <w:p w:rsidR="00CC4DBD" w:rsidRPr="005A2D13" w:rsidRDefault="00CC4DBD" w:rsidP="001000AC">
      <w:pPr>
        <w:pStyle w:val="Heading"/>
        <w:rPr>
          <w:rFonts w:ascii="Calibri" w:hAnsi="Calibri"/>
          <w:b/>
          <w:bCs/>
          <w:sz w:val="22"/>
          <w:szCs w:val="22"/>
          <w:u w:val="single"/>
        </w:rPr>
      </w:pPr>
    </w:p>
    <w:p w:rsidR="00CC4DBD" w:rsidRPr="005A2D13" w:rsidRDefault="00CC4DBD" w:rsidP="001000AC">
      <w:pPr>
        <w:pStyle w:val="Heading"/>
        <w:rPr>
          <w:rFonts w:ascii="Calibri" w:hAnsi="Calibri"/>
          <w:b/>
          <w:bCs/>
          <w:sz w:val="22"/>
          <w:szCs w:val="22"/>
        </w:rPr>
      </w:pPr>
      <w:r>
        <w:rPr>
          <w:rFonts w:ascii="Calibri" w:hAnsi="Calibri"/>
          <w:b/>
          <w:bCs/>
          <w:sz w:val="22"/>
          <w:szCs w:val="22"/>
        </w:rPr>
        <w:br w:type="page"/>
        <w:t>BANGLADESH</w:t>
      </w:r>
    </w:p>
    <w:p w:rsidR="00CC4DBD" w:rsidRPr="005A2D13" w:rsidRDefault="00CC4DBD" w:rsidP="001000AC">
      <w:r w:rsidRPr="005A2D13">
        <w:t xml:space="preserve">The Ministry of Environment and Forest (MOEF) is the lead government agency for biosafety. In 2005 MOEF published a document called </w:t>
      </w:r>
      <w:r w:rsidRPr="005A2D13">
        <w:rPr>
          <w:i/>
          <w:iCs/>
        </w:rPr>
        <w:t>Biosafety Guidelines of Bangladesh</w:t>
      </w:r>
      <w:r w:rsidRPr="005A2D13">
        <w:t>, containing standards and codes of practice related to risks associated with environmental release of GMOs. Additionally, on February 10</w:t>
      </w:r>
      <w:r w:rsidRPr="005A2D13">
        <w:rPr>
          <w:vertAlign w:val="superscript"/>
        </w:rPr>
        <w:t>th</w:t>
      </w:r>
      <w:r w:rsidRPr="005A2D13">
        <w:t>, 2010 the government tabled the  “National Institute of Biotechnology Bill</w:t>
      </w:r>
      <w:r w:rsidRPr="005A2D13">
        <w:rPr>
          <w:rFonts w:ascii="Arial" w:hAnsi="Arial" w:cs="Arial"/>
        </w:rPr>
        <w:t>″</w:t>
      </w:r>
      <w:r w:rsidRPr="005A2D13">
        <w:t xml:space="preserve"> in the National Parliament. When/if approved, The National Institute of Biotechnology will be the standard-setting authority for genetically modified organisms in Bangladesh. However, the current regulations under the MOEF and the Biosafety Guidelines requires a risk assessment, done according to a certain methodology specified in the document. The information that is considered vital for conducting a proper risk assessment include:</w:t>
      </w:r>
    </w:p>
    <w:p w:rsidR="00CC4DBD" w:rsidRPr="005A2D13" w:rsidRDefault="00CC4DBD" w:rsidP="001000AC"/>
    <w:p w:rsidR="00CC4DBD" w:rsidRPr="005A2D13" w:rsidRDefault="00CC4DBD" w:rsidP="001000AC">
      <w:pPr>
        <w:widowControl w:val="0"/>
        <w:numPr>
          <w:ilvl w:val="0"/>
          <w:numId w:val="21"/>
          <w:numberingChange w:id="85" w:author="Unknown" w:date="2011-01-12T15:27:00Z" w:original="%1:1:0:."/>
        </w:numPr>
        <w:suppressAutoHyphens/>
      </w:pPr>
      <w:r w:rsidRPr="005A2D13">
        <w:t>Recipient organism – taxonomic status; name; origin; habitat.</w:t>
      </w:r>
    </w:p>
    <w:p w:rsidR="00CC4DBD" w:rsidRPr="005A2D13" w:rsidRDefault="00CC4DBD" w:rsidP="001000AC">
      <w:pPr>
        <w:widowControl w:val="0"/>
        <w:numPr>
          <w:ilvl w:val="0"/>
          <w:numId w:val="21"/>
          <w:numberingChange w:id="86" w:author="Unknown" w:date="2011-01-12T15:27:00Z" w:original="%1:2:0:."/>
        </w:numPr>
        <w:suppressAutoHyphens/>
      </w:pPr>
      <w:r w:rsidRPr="005A2D13">
        <w:t>Donor organism – taxonomic status; source; and other relevant biological characteristics.</w:t>
      </w:r>
    </w:p>
    <w:p w:rsidR="00CC4DBD" w:rsidRPr="005A2D13" w:rsidRDefault="00CC4DBD" w:rsidP="001000AC">
      <w:pPr>
        <w:widowControl w:val="0"/>
        <w:numPr>
          <w:ilvl w:val="0"/>
          <w:numId w:val="21"/>
          <w:numberingChange w:id="87" w:author="Unknown" w:date="2011-01-12T15:27:00Z" w:original="%1:3:0:."/>
        </w:numPr>
        <w:suppressAutoHyphens/>
      </w:pPr>
      <w:r w:rsidRPr="005A2D13">
        <w:t>Vector – characteristics of the vector, including its identity, source of origin and host range.</w:t>
      </w:r>
    </w:p>
    <w:p w:rsidR="00CC4DBD" w:rsidRPr="005A2D13" w:rsidRDefault="00CC4DBD" w:rsidP="001000AC">
      <w:pPr>
        <w:widowControl w:val="0"/>
        <w:numPr>
          <w:ilvl w:val="0"/>
          <w:numId w:val="21"/>
          <w:numberingChange w:id="88" w:author="Unknown" w:date="2011-01-12T15:27:00Z" w:original="%1:4:0:."/>
        </w:numPr>
        <w:suppressAutoHyphens/>
      </w:pPr>
      <w:r w:rsidRPr="005A2D13">
        <w:t>Genetic insert(s) – characteristics of the inserted genetic material; functionality.</w:t>
      </w:r>
    </w:p>
    <w:p w:rsidR="00CC4DBD" w:rsidRPr="005A2D13" w:rsidRDefault="00CC4DBD" w:rsidP="001000AC">
      <w:pPr>
        <w:widowControl w:val="0"/>
        <w:numPr>
          <w:ilvl w:val="0"/>
          <w:numId w:val="21"/>
          <w:numberingChange w:id="89" w:author="Unknown" w:date="2011-01-12T15:27:00Z" w:original="%1:5:0:."/>
        </w:numPr>
        <w:suppressAutoHyphens/>
      </w:pPr>
      <w:r w:rsidRPr="005A2D13">
        <w:t>Difference between GMO and recipient organism – identify the differences between the biological characteristics of the two different organisms.</w:t>
      </w:r>
    </w:p>
    <w:p w:rsidR="00CC4DBD" w:rsidRPr="005A2D13" w:rsidRDefault="00CC4DBD" w:rsidP="001000AC">
      <w:pPr>
        <w:widowControl w:val="0"/>
        <w:numPr>
          <w:ilvl w:val="0"/>
          <w:numId w:val="21"/>
          <w:numberingChange w:id="90" w:author="Unknown" w:date="2011-01-12T15:27:00Z" w:original="%1:6:0:."/>
        </w:numPr>
        <w:suppressAutoHyphens/>
      </w:pPr>
      <w:r w:rsidRPr="005A2D13">
        <w:t>Detection and identification of the GMO – detection and identification methods, and their specificity, sensitivity, and reliability.</w:t>
      </w:r>
    </w:p>
    <w:p w:rsidR="00CC4DBD" w:rsidRPr="005A2D13" w:rsidRDefault="00CC4DBD" w:rsidP="001000AC">
      <w:pPr>
        <w:widowControl w:val="0"/>
        <w:numPr>
          <w:ilvl w:val="0"/>
          <w:numId w:val="21"/>
          <w:numberingChange w:id="91" w:author="Unknown" w:date="2011-01-12T15:27:00Z" w:original="%1:7:0:."/>
        </w:numPr>
        <w:suppressAutoHyphens/>
      </w:pPr>
      <w:r w:rsidRPr="005A2D13">
        <w:t>Intended use – information about the intended use of the GMO.</w:t>
      </w:r>
    </w:p>
    <w:p w:rsidR="00CC4DBD" w:rsidRPr="005A2D13" w:rsidRDefault="00CC4DBD" w:rsidP="001000AC">
      <w:pPr>
        <w:widowControl w:val="0"/>
        <w:numPr>
          <w:ilvl w:val="0"/>
          <w:numId w:val="21"/>
          <w:numberingChange w:id="92" w:author="Unknown" w:date="2011-01-12T15:27:00Z" w:original="%1:8:0:."/>
        </w:numPr>
        <w:suppressAutoHyphens/>
      </w:pPr>
      <w:r w:rsidRPr="005A2D13">
        <w:t>Receiving environment – information about the location, climate, ecology, geography, biological diversity of the receiving environment.</w:t>
      </w:r>
    </w:p>
    <w:p w:rsidR="00CC4DBD" w:rsidRPr="005A2D13" w:rsidRDefault="00CC4DBD" w:rsidP="001000AC"/>
    <w:p w:rsidR="00CC4DBD" w:rsidRPr="005A2D13" w:rsidRDefault="00CC4DBD" w:rsidP="004A3DF4">
      <w:r w:rsidRPr="005A2D13">
        <w:t>In addition to the general information, manufacturers who intend to produce GMOs that will be used as products on the market must submit a notification to The National Technical Committee on Biosafety (NCB) at least 90 days before intended commercialization. A field trial must be performed, and the following data thereof must be included in the notification:</w:t>
      </w:r>
    </w:p>
    <w:p w:rsidR="00CC4DBD" w:rsidRPr="005A2D13" w:rsidRDefault="00CC4DBD" w:rsidP="001000AC"/>
    <w:p w:rsidR="00CC4DBD" w:rsidRPr="005A2D13" w:rsidRDefault="00CC4DBD" w:rsidP="001000AC">
      <w:pPr>
        <w:widowControl w:val="0"/>
        <w:numPr>
          <w:ilvl w:val="0"/>
          <w:numId w:val="22"/>
          <w:numberingChange w:id="93" w:author="Unknown" w:date="2011-01-12T15:27:00Z" w:original="%1:1:0:."/>
        </w:numPr>
        <w:suppressAutoHyphens/>
        <w:autoSpaceDE w:val="0"/>
      </w:pPr>
      <w:r w:rsidRPr="005A2D13">
        <w:t>Summary of field trial data</w:t>
      </w:r>
    </w:p>
    <w:p w:rsidR="00CC4DBD" w:rsidRPr="005A2D13" w:rsidRDefault="00CC4DBD" w:rsidP="001000AC">
      <w:pPr>
        <w:widowControl w:val="0"/>
        <w:numPr>
          <w:ilvl w:val="1"/>
          <w:numId w:val="22"/>
          <w:numberingChange w:id="94" w:author="Unknown" w:date="2011-01-12T15:27:00Z" w:original="%2:1:4:)"/>
        </w:numPr>
        <w:suppressAutoHyphens/>
        <w:autoSpaceDE w:val="0"/>
      </w:pPr>
      <w:r w:rsidRPr="005A2D13">
        <w:t>Duration of field test</w:t>
      </w:r>
    </w:p>
    <w:p w:rsidR="00CC4DBD" w:rsidRPr="005A2D13" w:rsidRDefault="00CC4DBD" w:rsidP="001000AC">
      <w:pPr>
        <w:widowControl w:val="0"/>
        <w:numPr>
          <w:ilvl w:val="1"/>
          <w:numId w:val="22"/>
          <w:numberingChange w:id="95" w:author="Unknown" w:date="2011-01-12T15:27:00Z" w:original="%2:2:4:)"/>
        </w:numPr>
        <w:suppressAutoHyphens/>
        <w:autoSpaceDE w:val="0"/>
      </w:pPr>
      <w:r w:rsidRPr="005A2D13">
        <w:t>Location of field test</w:t>
      </w:r>
    </w:p>
    <w:p w:rsidR="00CC4DBD" w:rsidRPr="005A2D13" w:rsidRDefault="00CC4DBD" w:rsidP="001000AC">
      <w:pPr>
        <w:widowControl w:val="0"/>
        <w:numPr>
          <w:ilvl w:val="1"/>
          <w:numId w:val="22"/>
          <w:numberingChange w:id="96" w:author="Unknown" w:date="2011-01-12T15:27:00Z" w:original="%2:3:4:)"/>
        </w:numPr>
        <w:suppressAutoHyphens/>
        <w:autoSpaceDE w:val="0"/>
      </w:pPr>
      <w:r w:rsidRPr="005A2D13">
        <w:t>Scale of field test</w:t>
      </w:r>
    </w:p>
    <w:p w:rsidR="00CC4DBD" w:rsidRPr="005A2D13" w:rsidRDefault="00CC4DBD" w:rsidP="001000AC">
      <w:pPr>
        <w:widowControl w:val="0"/>
        <w:numPr>
          <w:ilvl w:val="1"/>
          <w:numId w:val="22"/>
          <w:numberingChange w:id="97" w:author="Unknown" w:date="2011-01-12T15:27:00Z" w:original="%2:4:4:)"/>
        </w:numPr>
        <w:suppressAutoHyphens/>
        <w:autoSpaceDE w:val="0"/>
      </w:pPr>
      <w:r w:rsidRPr="005A2D13">
        <w:t>Detailed methodology of field test</w:t>
      </w:r>
    </w:p>
    <w:p w:rsidR="00CC4DBD" w:rsidRPr="005A2D13" w:rsidRDefault="00CC4DBD" w:rsidP="001000AC">
      <w:pPr>
        <w:widowControl w:val="0"/>
        <w:numPr>
          <w:ilvl w:val="1"/>
          <w:numId w:val="22"/>
          <w:numberingChange w:id="98" w:author="Unknown" w:date="2011-01-12T15:27:00Z" w:original="%2:5:4:)"/>
        </w:numPr>
        <w:suppressAutoHyphens/>
        <w:autoSpaceDE w:val="0"/>
      </w:pPr>
      <w:r w:rsidRPr="005A2D13">
        <w:t>Results obtained</w:t>
      </w:r>
    </w:p>
    <w:p w:rsidR="00CC4DBD" w:rsidRPr="005A2D13" w:rsidRDefault="00CC4DBD" w:rsidP="001000AC">
      <w:pPr>
        <w:widowControl w:val="0"/>
        <w:numPr>
          <w:ilvl w:val="1"/>
          <w:numId w:val="22"/>
          <w:numberingChange w:id="99" w:author="Unknown" w:date="2011-01-12T15:27:00Z" w:original="%2:6:4:)"/>
        </w:numPr>
        <w:suppressAutoHyphens/>
        <w:autoSpaceDE w:val="0"/>
      </w:pPr>
      <w:r w:rsidRPr="005A2D13">
        <w:t>Conclusion</w:t>
      </w:r>
    </w:p>
    <w:p w:rsidR="00CC4DBD" w:rsidRPr="005A2D13" w:rsidRDefault="00CC4DBD" w:rsidP="001000AC">
      <w:pPr>
        <w:widowControl w:val="0"/>
        <w:numPr>
          <w:ilvl w:val="0"/>
          <w:numId w:val="22"/>
          <w:numberingChange w:id="100" w:author="Unknown" w:date="2011-01-12T15:27:00Z" w:original="%1:2:0:."/>
        </w:numPr>
        <w:suppressAutoHyphens/>
        <w:autoSpaceDE w:val="0"/>
      </w:pPr>
      <w:r w:rsidRPr="005A2D13">
        <w:t>Rationale for development of the organism for commercialization</w:t>
      </w:r>
    </w:p>
    <w:p w:rsidR="00CC4DBD" w:rsidRPr="005A2D13" w:rsidRDefault="00CC4DBD" w:rsidP="001000AC">
      <w:pPr>
        <w:widowControl w:val="0"/>
        <w:numPr>
          <w:ilvl w:val="0"/>
          <w:numId w:val="22"/>
          <w:numberingChange w:id="101" w:author="Unknown" w:date="2011-01-12T15:27:00Z" w:original="%1:3:0:."/>
        </w:numPr>
        <w:suppressAutoHyphens/>
        <w:autoSpaceDE w:val="0"/>
      </w:pPr>
      <w:r w:rsidRPr="005A2D13">
        <w:t>Details of Specific modifications and for what purpose it was done</w:t>
      </w:r>
    </w:p>
    <w:p w:rsidR="00CC4DBD" w:rsidRPr="005A2D13" w:rsidRDefault="00CC4DBD" w:rsidP="001000AC">
      <w:pPr>
        <w:widowControl w:val="0"/>
        <w:numPr>
          <w:ilvl w:val="0"/>
          <w:numId w:val="22"/>
          <w:numberingChange w:id="102" w:author="Unknown" w:date="2011-01-12T15:27:00Z" w:original="%1:4:0:."/>
        </w:numPr>
        <w:suppressAutoHyphens/>
        <w:autoSpaceDE w:val="0"/>
      </w:pPr>
      <w:r w:rsidRPr="005A2D13">
        <w:t>Environmental Consequences – advantages and disadvantages; economic and social benefits</w:t>
      </w:r>
    </w:p>
    <w:p w:rsidR="00CC4DBD" w:rsidRPr="005A2D13" w:rsidRDefault="00CC4DBD" w:rsidP="001000AC">
      <w:pPr>
        <w:widowControl w:val="0"/>
        <w:numPr>
          <w:ilvl w:val="0"/>
          <w:numId w:val="22"/>
          <w:numberingChange w:id="103" w:author="Unknown" w:date="2011-01-12T15:27:00Z" w:original="%1:5:0:."/>
        </w:numPr>
        <w:suppressAutoHyphens/>
        <w:autoSpaceDE w:val="0"/>
      </w:pPr>
      <w:r w:rsidRPr="005A2D13">
        <w:t>Possible side effects; vertical/horizontal transfer of genes; affects on other related organisms.</w:t>
      </w:r>
    </w:p>
    <w:p w:rsidR="00CC4DBD" w:rsidRPr="005A2D13" w:rsidRDefault="00CC4DBD" w:rsidP="001000AC">
      <w:pPr>
        <w:widowControl w:val="0"/>
        <w:numPr>
          <w:ilvl w:val="0"/>
          <w:numId w:val="22"/>
          <w:numberingChange w:id="104" w:author="Unknown" w:date="2011-01-12T15:27:00Z" w:original="%1:6:0:."/>
        </w:numPr>
        <w:suppressAutoHyphens/>
        <w:autoSpaceDE w:val="0"/>
      </w:pPr>
      <w:r w:rsidRPr="005A2D13">
        <w:t xml:space="preserve">Citations </w:t>
      </w:r>
    </w:p>
    <w:p w:rsidR="00CC4DBD" w:rsidRPr="005A2D13" w:rsidRDefault="00CC4DBD" w:rsidP="001000AC">
      <w:pPr>
        <w:autoSpaceDE w:val="0"/>
        <w:rPr>
          <w:b/>
          <w:bCs/>
        </w:rPr>
      </w:pPr>
    </w:p>
    <w:p w:rsidR="00CC4DBD" w:rsidRPr="005A2D13" w:rsidRDefault="00CC4DBD" w:rsidP="001000AC">
      <w:pPr>
        <w:autoSpaceDE w:val="0"/>
        <w:rPr>
          <w:b/>
          <w:bCs/>
        </w:rPr>
      </w:pPr>
      <w:r w:rsidRPr="005A2D13">
        <w:rPr>
          <w:b/>
          <w:bCs/>
        </w:rPr>
        <w:t>Annex 6 Information needed in trans-boundary movement of GMO</w:t>
      </w:r>
    </w:p>
    <w:p w:rsidR="00CC4DBD" w:rsidRPr="005A2D13" w:rsidRDefault="00CC4DBD" w:rsidP="001000AC">
      <w:pPr>
        <w:autoSpaceDE w:val="0"/>
      </w:pPr>
      <w:r w:rsidRPr="005A2D13">
        <w:t>In addition to the above specified information, a foreign company that wishes to introduce their GMO in Bangladesh will have to submit the following information:</w:t>
      </w:r>
    </w:p>
    <w:p w:rsidR="00CC4DBD" w:rsidRPr="005A2D13" w:rsidRDefault="00CC4DBD" w:rsidP="001000AC">
      <w:pPr>
        <w:autoSpaceDE w:val="0"/>
      </w:pPr>
    </w:p>
    <w:p w:rsidR="00CC4DBD" w:rsidRPr="005A2D13" w:rsidRDefault="00CC4DBD" w:rsidP="001000AC">
      <w:pPr>
        <w:widowControl w:val="0"/>
        <w:numPr>
          <w:ilvl w:val="0"/>
          <w:numId w:val="23"/>
          <w:numberingChange w:id="105" w:author="Unknown" w:date="2011-01-12T15:27:00Z" w:original="%1:1:0:."/>
        </w:numPr>
        <w:suppressAutoHyphens/>
        <w:autoSpaceDE w:val="0"/>
      </w:pPr>
      <w:r w:rsidRPr="005A2D13">
        <w:t>Identity of the modified organism, and the biosafety level, if any, in the State of export.</w:t>
      </w:r>
    </w:p>
    <w:p w:rsidR="00CC4DBD" w:rsidRPr="005A2D13" w:rsidRDefault="00CC4DBD" w:rsidP="001000AC">
      <w:pPr>
        <w:widowControl w:val="0"/>
        <w:numPr>
          <w:ilvl w:val="0"/>
          <w:numId w:val="23"/>
          <w:numberingChange w:id="106" w:author="Unknown" w:date="2011-01-12T15:27:00Z" w:original="%1:2:0:."/>
        </w:numPr>
        <w:suppressAutoHyphens/>
        <w:autoSpaceDE w:val="0"/>
      </w:pPr>
      <w:r w:rsidRPr="005A2D13">
        <w:t>Taxonomic status, common name, point of collection, and biosafety characteristics of recipient organism.</w:t>
      </w:r>
    </w:p>
    <w:p w:rsidR="00CC4DBD" w:rsidRPr="005A2D13" w:rsidRDefault="00CC4DBD" w:rsidP="001000AC">
      <w:pPr>
        <w:widowControl w:val="0"/>
        <w:numPr>
          <w:ilvl w:val="0"/>
          <w:numId w:val="23"/>
          <w:numberingChange w:id="107" w:author="Unknown" w:date="2011-01-12T15:27:00Z" w:original="%1:3:0:."/>
        </w:numPr>
        <w:suppressAutoHyphens/>
        <w:autoSpaceDE w:val="0"/>
      </w:pPr>
      <w:r w:rsidRPr="005A2D13">
        <w:t xml:space="preserve">Centers of origin and centers of genetic diversity, if known, of the recipient organism and a description of the habitats where the organism may persist or proliferate. </w:t>
      </w:r>
    </w:p>
    <w:p w:rsidR="00CC4DBD" w:rsidRPr="005A2D13" w:rsidRDefault="00CC4DBD" w:rsidP="001000AC">
      <w:pPr>
        <w:widowControl w:val="0"/>
        <w:numPr>
          <w:ilvl w:val="0"/>
          <w:numId w:val="23"/>
          <w:numberingChange w:id="108" w:author="Unknown" w:date="2011-01-12T15:27:00Z" w:original="%1:4:0:."/>
        </w:numPr>
        <w:suppressAutoHyphens/>
        <w:autoSpaceDE w:val="0"/>
      </w:pPr>
      <w:r w:rsidRPr="005A2D13">
        <w:t>Taxonomic status, common name, point of collection, and biosafety characteristics of the donor organism.</w:t>
      </w:r>
    </w:p>
    <w:p w:rsidR="00CC4DBD" w:rsidRPr="005A2D13" w:rsidRDefault="00CC4DBD" w:rsidP="001000AC">
      <w:pPr>
        <w:widowControl w:val="0"/>
        <w:numPr>
          <w:ilvl w:val="0"/>
          <w:numId w:val="23"/>
          <w:numberingChange w:id="109" w:author="Unknown" w:date="2011-01-12T15:27:00Z" w:original="%1:5:0:."/>
        </w:numPr>
        <w:suppressAutoHyphens/>
        <w:autoSpaceDE w:val="0"/>
      </w:pPr>
      <w:r w:rsidRPr="005A2D13">
        <w:t>Description of the nucleic acid or the modification introduced, the technique used, and the resulting characteristics of the living modified organism.</w:t>
      </w:r>
    </w:p>
    <w:p w:rsidR="00CC4DBD" w:rsidRPr="005A2D13" w:rsidRDefault="00CC4DBD" w:rsidP="001000AC">
      <w:pPr>
        <w:widowControl w:val="0"/>
        <w:numPr>
          <w:ilvl w:val="0"/>
          <w:numId w:val="23"/>
          <w:numberingChange w:id="110" w:author="Unknown" w:date="2011-01-12T15:27:00Z" w:original="%1:6:0:."/>
        </w:numPr>
        <w:suppressAutoHyphens/>
        <w:autoSpaceDE w:val="0"/>
      </w:pPr>
      <w:r w:rsidRPr="005A2D13">
        <w:t>Intended use of the living modified organism or products thereof.</w:t>
      </w:r>
    </w:p>
    <w:p w:rsidR="00CC4DBD" w:rsidRPr="005A2D13" w:rsidRDefault="00CC4DBD" w:rsidP="001000AC">
      <w:pPr>
        <w:widowControl w:val="0"/>
        <w:numPr>
          <w:ilvl w:val="0"/>
          <w:numId w:val="23"/>
          <w:numberingChange w:id="111" w:author="Unknown" w:date="2011-01-12T15:27:00Z" w:original="%1:7:0:."/>
        </w:numPr>
        <w:suppressAutoHyphens/>
        <w:autoSpaceDE w:val="0"/>
      </w:pPr>
      <w:r w:rsidRPr="005A2D13">
        <w:t>Quantity or volume of the living modified organism to be transferred.</w:t>
      </w:r>
    </w:p>
    <w:p w:rsidR="00CC4DBD" w:rsidRPr="005A2D13" w:rsidRDefault="00CC4DBD" w:rsidP="001000AC">
      <w:pPr>
        <w:widowControl w:val="0"/>
        <w:numPr>
          <w:ilvl w:val="0"/>
          <w:numId w:val="23"/>
          <w:numberingChange w:id="112" w:author="Unknown" w:date="2011-01-12T15:27:00Z" w:original="%1:8:0:."/>
        </w:numPr>
        <w:suppressAutoHyphens/>
        <w:autoSpaceDE w:val="0"/>
      </w:pPr>
      <w:r w:rsidRPr="005A2D13">
        <w:t>A previous and existing risk assessment report consistent with Annex III.</w:t>
      </w:r>
    </w:p>
    <w:p w:rsidR="00CC4DBD" w:rsidRPr="005A2D13" w:rsidRDefault="00CC4DBD" w:rsidP="001000AC">
      <w:pPr>
        <w:widowControl w:val="0"/>
        <w:numPr>
          <w:ilvl w:val="0"/>
          <w:numId w:val="23"/>
          <w:numberingChange w:id="113" w:author="Unknown" w:date="2011-01-12T15:27:00Z" w:original="%1:9:0:."/>
        </w:numPr>
        <w:suppressAutoHyphens/>
        <w:autoSpaceDE w:val="0"/>
      </w:pPr>
      <w:r w:rsidRPr="005A2D13">
        <w:t>Suggested methods for the safe handling, storage, transport and use.</w:t>
      </w:r>
    </w:p>
    <w:p w:rsidR="00CC4DBD" w:rsidRPr="005A2D13" w:rsidRDefault="00CC4DBD" w:rsidP="001000AC">
      <w:pPr>
        <w:widowControl w:val="0"/>
        <w:numPr>
          <w:ilvl w:val="0"/>
          <w:numId w:val="23"/>
          <w:numberingChange w:id="114" w:author="Unknown" w:date="2011-01-12T15:27:00Z" w:original="%1:10:0:."/>
        </w:numPr>
        <w:suppressAutoHyphens/>
        <w:autoSpaceDE w:val="0"/>
      </w:pPr>
      <w:r w:rsidRPr="005A2D13">
        <w:t>Regulatory status of the modified organism within the State of export.</w:t>
      </w:r>
    </w:p>
    <w:p w:rsidR="00CC4DBD" w:rsidRDefault="00CC4DBD" w:rsidP="00BD68C0">
      <w:pPr>
        <w:jc w:val="center"/>
        <w:rPr>
          <w:b/>
          <w:bCs/>
        </w:rPr>
      </w:pPr>
    </w:p>
    <w:p w:rsidR="00CC4DBD" w:rsidRDefault="00CC4DBD" w:rsidP="00BD68C0">
      <w:pPr>
        <w:jc w:val="center"/>
        <w:rPr>
          <w:b/>
          <w:bCs/>
        </w:rPr>
      </w:pPr>
    </w:p>
    <w:p w:rsidR="00CC4DBD" w:rsidRDefault="00CC4DBD" w:rsidP="001000AC">
      <w:pPr>
        <w:ind w:left="360"/>
        <w:jc w:val="both"/>
        <w:rPr>
          <w:b/>
          <w:bCs/>
        </w:rPr>
      </w:pPr>
    </w:p>
    <w:p w:rsidR="00CC4DBD" w:rsidRDefault="00CC4DBD" w:rsidP="001000AC">
      <w:pPr>
        <w:ind w:left="360"/>
        <w:jc w:val="both"/>
        <w:rPr>
          <w:b/>
          <w:bCs/>
        </w:rPr>
      </w:pPr>
    </w:p>
    <w:p w:rsidR="00CC4DBD" w:rsidRDefault="00CC4DBD" w:rsidP="001000AC">
      <w:pPr>
        <w:ind w:left="360"/>
        <w:jc w:val="both"/>
        <w:rPr>
          <w:b/>
          <w:bCs/>
        </w:rPr>
      </w:pPr>
    </w:p>
    <w:p w:rsidR="00CC4DBD" w:rsidRDefault="00CC4DBD" w:rsidP="001000AC">
      <w:pPr>
        <w:ind w:left="360"/>
        <w:jc w:val="both"/>
        <w:rPr>
          <w:b/>
          <w:bCs/>
        </w:rPr>
      </w:pPr>
    </w:p>
    <w:p w:rsidR="00CC4DBD" w:rsidRDefault="00CC4DBD" w:rsidP="001000AC">
      <w:pPr>
        <w:ind w:left="360"/>
        <w:jc w:val="center"/>
        <w:rPr>
          <w:b/>
          <w:bCs/>
        </w:rPr>
      </w:pPr>
      <w:r>
        <w:rPr>
          <w:b/>
          <w:bCs/>
        </w:rPr>
        <w:t>##### END SECTION 7  ####</w:t>
      </w:r>
    </w:p>
    <w:p w:rsidR="00CC4DBD" w:rsidRDefault="00CC4DBD" w:rsidP="001000AC">
      <w:pPr>
        <w:ind w:left="360"/>
        <w:jc w:val="center"/>
        <w:rPr>
          <w:b/>
          <w:bCs/>
        </w:rPr>
      </w:pPr>
    </w:p>
    <w:p w:rsidR="00CC4DBD" w:rsidRDefault="00CC4DBD" w:rsidP="001000AC">
      <w:pPr>
        <w:ind w:left="360"/>
        <w:jc w:val="center"/>
        <w:rPr>
          <w:b/>
          <w:bCs/>
        </w:rPr>
      </w:pPr>
    </w:p>
    <w:p w:rsidR="00CC4DBD" w:rsidRDefault="00CC4DBD" w:rsidP="001000AC">
      <w:pPr>
        <w:ind w:left="360"/>
        <w:jc w:val="center"/>
        <w:rPr>
          <w:b/>
          <w:bCs/>
        </w:rPr>
      </w:pPr>
    </w:p>
    <w:p w:rsidR="00CC4DBD" w:rsidRDefault="00CC4DBD" w:rsidP="00084549">
      <w:pPr>
        <w:jc w:val="center"/>
        <w:rPr>
          <w:b/>
          <w:bCs/>
          <w:u w:val="single"/>
        </w:rPr>
      </w:pPr>
      <w:r>
        <w:rPr>
          <w:b/>
          <w:bCs/>
        </w:rPr>
        <w:br w:type="page"/>
      </w:r>
      <w:r w:rsidRPr="001000AC">
        <w:rPr>
          <w:b/>
          <w:bCs/>
          <w:u w:val="single"/>
        </w:rPr>
        <w:t xml:space="preserve">SECTION </w:t>
      </w:r>
      <w:r>
        <w:rPr>
          <w:b/>
          <w:bCs/>
          <w:u w:val="single"/>
        </w:rPr>
        <w:t>8</w:t>
      </w:r>
      <w:r w:rsidRPr="001000AC">
        <w:rPr>
          <w:b/>
          <w:bCs/>
          <w:u w:val="single"/>
        </w:rPr>
        <w:t xml:space="preserve">   UK DEFRA SUMMARY </w:t>
      </w:r>
      <w:r>
        <w:rPr>
          <w:b/>
          <w:bCs/>
          <w:u w:val="single"/>
        </w:rPr>
        <w:t xml:space="preserve">OF ACTIONS ON </w:t>
      </w:r>
      <w:r w:rsidRPr="001000AC">
        <w:rPr>
          <w:b/>
          <w:bCs/>
          <w:u w:val="single"/>
        </w:rPr>
        <w:t xml:space="preserve"> DELIBERATE RELEASE OF GM ORGANISMS</w:t>
      </w:r>
    </w:p>
    <w:p w:rsidR="00CC4DBD" w:rsidRDefault="00CC4DBD" w:rsidP="001000AC">
      <w:pPr>
        <w:ind w:left="360"/>
        <w:jc w:val="center"/>
        <w:rPr>
          <w:b/>
          <w:bCs/>
          <w:u w:val="single"/>
        </w:rPr>
      </w:pPr>
    </w:p>
    <w:p w:rsidR="00CC4DBD" w:rsidRDefault="00CC4DBD" w:rsidP="00757D2A">
      <w:pPr>
        <w:ind w:left="360"/>
        <w:rPr>
          <w:b/>
          <w:bCs/>
          <w:u w:val="single"/>
        </w:rPr>
      </w:pPr>
      <w:r>
        <w:rPr>
          <w:b/>
          <w:bCs/>
        </w:rPr>
        <w:t>NOTE:  Shows limited relevant prior actions, with prior focus on GM seed</w:t>
      </w:r>
    </w:p>
    <w:p w:rsidR="00CC4DBD" w:rsidRPr="001000AC" w:rsidRDefault="00CC4DBD" w:rsidP="001000AC">
      <w:pPr>
        <w:ind w:left="360"/>
        <w:jc w:val="both"/>
        <w:rPr>
          <w:b/>
          <w:bCs/>
          <w:u w:val="single"/>
        </w:rPr>
      </w:pPr>
    </w:p>
    <w:p w:rsidR="00CC4DBD" w:rsidRDefault="00CC4DBD" w:rsidP="001000AC">
      <w:pPr>
        <w:rPr>
          <w:b/>
          <w:bCs/>
        </w:rPr>
      </w:pPr>
      <w:r w:rsidRPr="00E50FB0">
        <w:rPr>
          <w:b/>
          <w:noProof/>
          <w:lang w:eastAsia="zh-CN"/>
        </w:rPr>
        <w:pict>
          <v:shape id="Picture 23" o:spid="_x0000_i1047" type="#_x0000_t75" style="width:465pt;height:265.5pt;visibility:visible">
            <v:imagedata r:id="rId47" o:title=""/>
          </v:shape>
        </w:pict>
      </w:r>
    </w:p>
    <w:p w:rsidR="00CC4DBD" w:rsidRDefault="00CC4DBD" w:rsidP="001000AC">
      <w:pPr>
        <w:rPr>
          <w:b/>
          <w:bCs/>
        </w:rPr>
      </w:pPr>
    </w:p>
    <w:p w:rsidR="00CC4DBD" w:rsidRPr="001000AC" w:rsidRDefault="00CC4DBD" w:rsidP="00757D2A">
      <w:pPr>
        <w:rPr>
          <w:b/>
          <w:bCs/>
        </w:rPr>
      </w:pPr>
      <w:r w:rsidRPr="00E50FB0">
        <w:rPr>
          <w:b/>
          <w:noProof/>
          <w:lang w:eastAsia="zh-CN"/>
        </w:rPr>
        <w:pict>
          <v:shape id="Picture 24" o:spid="_x0000_i1048" type="#_x0000_t75" style="width:459pt;height:230.25pt;visibility:visible">
            <v:imagedata r:id="rId48" o:title=""/>
          </v:shape>
        </w:pict>
      </w:r>
      <w:r w:rsidRPr="001000AC">
        <w:rPr>
          <w:b/>
          <w:bCs/>
        </w:rPr>
        <w:t xml:space="preserve"> </w:t>
      </w:r>
    </w:p>
    <w:p w:rsidR="00CC4DBD" w:rsidRDefault="00CC4DBD" w:rsidP="001000AC">
      <w:pPr>
        <w:rPr>
          <w:b/>
          <w:bCs/>
        </w:rPr>
      </w:pPr>
    </w:p>
    <w:p w:rsidR="00CC4DBD" w:rsidRDefault="00CC4DBD" w:rsidP="001000AC">
      <w:pPr>
        <w:rPr>
          <w:b/>
          <w:bCs/>
        </w:rPr>
      </w:pPr>
      <w:r>
        <w:rPr>
          <w:b/>
          <w:bCs/>
        </w:rPr>
        <w:br w:type="page"/>
      </w:r>
      <w:r w:rsidRPr="00E50FB0">
        <w:rPr>
          <w:b/>
          <w:noProof/>
          <w:lang w:eastAsia="zh-CN"/>
        </w:rPr>
        <w:pict>
          <v:shape id="Picture 14" o:spid="_x0000_i1049" type="#_x0000_t75" style="width:462.75pt;height:273.75pt;visibility:visible">
            <v:imagedata r:id="rId49" o:title=""/>
          </v:shape>
        </w:pict>
      </w:r>
    </w:p>
    <w:p w:rsidR="00CC4DBD" w:rsidRDefault="00CC4DBD" w:rsidP="001000AC">
      <w:pPr>
        <w:rPr>
          <w:b/>
          <w:bCs/>
        </w:rPr>
      </w:pPr>
      <w:r>
        <w:rPr>
          <w:b/>
          <w:bCs/>
        </w:rPr>
        <w:t xml:space="preserve">  </w:t>
      </w:r>
      <w:r w:rsidRPr="00E50FB0">
        <w:rPr>
          <w:b/>
          <w:noProof/>
          <w:lang w:eastAsia="zh-CN"/>
        </w:rPr>
        <w:pict>
          <v:shape id="Picture 15" o:spid="_x0000_i1050" type="#_x0000_t75" style="width:456.75pt;height:21.75pt;visibility:visible">
            <v:imagedata r:id="rId50" o:title=""/>
          </v:shape>
        </w:pict>
      </w:r>
    </w:p>
    <w:p w:rsidR="00CC4DBD" w:rsidRDefault="00CC4DBD" w:rsidP="001000AC">
      <w:pPr>
        <w:rPr>
          <w:b/>
          <w:bCs/>
        </w:rPr>
      </w:pPr>
    </w:p>
    <w:p w:rsidR="00CC4DBD" w:rsidRDefault="00CC4DBD" w:rsidP="001000AC">
      <w:pPr>
        <w:rPr>
          <w:b/>
          <w:bCs/>
        </w:rPr>
      </w:pPr>
      <w:r w:rsidRPr="00E50FB0">
        <w:rPr>
          <w:b/>
          <w:noProof/>
          <w:lang w:eastAsia="zh-CN"/>
        </w:rPr>
        <w:pict>
          <v:shape id="Picture 16" o:spid="_x0000_i1051" type="#_x0000_t75" style="width:462.75pt;height:39.75pt;visibility:visible">
            <v:imagedata r:id="rId51" o:title=""/>
          </v:shape>
        </w:pict>
      </w:r>
    </w:p>
    <w:p w:rsidR="00CC4DBD" w:rsidRDefault="00CC4DBD" w:rsidP="001000AC">
      <w:pPr>
        <w:rPr>
          <w:b/>
          <w:bCs/>
        </w:rPr>
      </w:pPr>
    </w:p>
    <w:p w:rsidR="00CC4DBD" w:rsidRDefault="00CC4DBD" w:rsidP="001000AC">
      <w:pPr>
        <w:rPr>
          <w:b/>
          <w:bCs/>
        </w:rPr>
      </w:pPr>
      <w:r w:rsidRPr="00E50FB0">
        <w:rPr>
          <w:b/>
          <w:noProof/>
          <w:lang w:eastAsia="zh-CN"/>
        </w:rPr>
        <w:pict>
          <v:shape id="Picture 28" o:spid="_x0000_i1052" type="#_x0000_t75" style="width:468pt;height:167.25pt;visibility:visible">
            <v:imagedata r:id="rId52" o:title=""/>
          </v:shape>
        </w:pict>
      </w:r>
    </w:p>
    <w:p w:rsidR="00CC4DBD" w:rsidRDefault="00CC4DBD" w:rsidP="001000AC">
      <w:pPr>
        <w:rPr>
          <w:b/>
          <w:bCs/>
        </w:rPr>
      </w:pPr>
    </w:p>
    <w:p w:rsidR="00CC4DBD" w:rsidRDefault="00CC4DBD" w:rsidP="00757D2A">
      <w:pPr>
        <w:jc w:val="center"/>
        <w:rPr>
          <w:b/>
          <w:bCs/>
        </w:rPr>
      </w:pPr>
      <w:r>
        <w:rPr>
          <w:b/>
          <w:bCs/>
        </w:rPr>
        <w:t>##### END SECTION 8  ON DEFRA SUMMARY OF EU ACTIONS #####</w:t>
      </w:r>
    </w:p>
    <w:p w:rsidR="00CC4DBD" w:rsidRPr="002639A4" w:rsidRDefault="00CC4DBD" w:rsidP="002639A4">
      <w:pPr>
        <w:spacing w:line="220" w:lineRule="exact"/>
        <w:ind w:right="44"/>
        <w:jc w:val="center"/>
        <w:rPr>
          <w:b/>
          <w:bCs/>
          <w:iCs/>
          <w:u w:val="single"/>
        </w:rPr>
      </w:pPr>
      <w:r>
        <w:rPr>
          <w:b/>
          <w:bCs/>
        </w:rPr>
        <w:br w:type="page"/>
      </w:r>
      <w:r w:rsidRPr="002639A4">
        <w:rPr>
          <w:b/>
          <w:bCs/>
          <w:u w:val="single"/>
        </w:rPr>
        <w:t xml:space="preserve">SECTION </w:t>
      </w:r>
      <w:r>
        <w:rPr>
          <w:b/>
          <w:bCs/>
          <w:u w:val="single"/>
        </w:rPr>
        <w:t>9</w:t>
      </w:r>
      <w:r w:rsidRPr="002639A4">
        <w:rPr>
          <w:b/>
          <w:bCs/>
          <w:u w:val="single"/>
        </w:rPr>
        <w:t xml:space="preserve">: </w:t>
      </w:r>
      <w:r w:rsidRPr="002639A4">
        <w:rPr>
          <w:b/>
          <w:bCs/>
          <w:iCs/>
          <w:u w:val="single"/>
        </w:rPr>
        <w:t>BIOSKETCHES OF WORKSHOP PARTICIPANTS</w:t>
      </w:r>
    </w:p>
    <w:p w:rsidR="00CC4DBD" w:rsidRPr="00706601" w:rsidRDefault="00CC4DBD" w:rsidP="00706601">
      <w:pPr>
        <w:spacing w:line="220" w:lineRule="exact"/>
        <w:ind w:right="44"/>
        <w:jc w:val="both"/>
        <w:rPr>
          <w:b/>
          <w:bCs/>
          <w:sz w:val="20"/>
          <w:szCs w:val="20"/>
          <w:u w:val="single"/>
        </w:rPr>
      </w:pPr>
    </w:p>
    <w:p w:rsidR="00CC4DBD" w:rsidRDefault="00CC4DBD" w:rsidP="00135651"/>
    <w:p w:rsidR="00CC4DBD" w:rsidRPr="000F7B2B" w:rsidRDefault="00CC4DBD" w:rsidP="00135651">
      <w:pPr>
        <w:spacing w:line="220" w:lineRule="exact"/>
        <w:ind w:right="44"/>
        <w:jc w:val="both"/>
        <w:rPr>
          <w:rFonts w:cs="Calibri"/>
          <w:sz w:val="20"/>
          <w:szCs w:val="20"/>
        </w:rPr>
      </w:pPr>
      <w:r w:rsidRPr="00DE7E6E">
        <w:rPr>
          <w:rFonts w:cs="Calibri"/>
          <w:b/>
          <w:sz w:val="20"/>
          <w:szCs w:val="20"/>
        </w:rPr>
        <w:t>Peter Carr</w:t>
      </w:r>
      <w:r w:rsidRPr="000F7B2B">
        <w:rPr>
          <w:rFonts w:cs="Calibri"/>
          <w:sz w:val="20"/>
          <w:szCs w:val="20"/>
        </w:rPr>
        <w:t xml:space="preserve"> is a Research Scientist in the Molecular Machines group at the MIT Media Lab.  Peter serves as a principal organizer of the International Genetically Engineered Machines Competition (iGEM), with over 1800 students on 112 teams from Asia, Europe and the Americas participating in 2009.  He is also a leader of the MIT Synthetic Biology Working Group, where he has worked to integrate technical and policy work on SynBIO at MIT.  Peter has been working with the Church Lab on the rE.coli project, and is co author on several major papers on the status of that project. </w:t>
      </w:r>
    </w:p>
    <w:p w:rsidR="00CC4DBD" w:rsidRPr="000F7B2B" w:rsidRDefault="00CC4DBD" w:rsidP="00135651">
      <w:pPr>
        <w:spacing w:line="220" w:lineRule="exact"/>
        <w:ind w:right="44"/>
        <w:jc w:val="both"/>
        <w:rPr>
          <w:rFonts w:cs="Calibri"/>
          <w:sz w:val="20"/>
          <w:szCs w:val="20"/>
        </w:rPr>
      </w:pPr>
    </w:p>
    <w:p w:rsidR="00CC4DBD" w:rsidRPr="00467044" w:rsidRDefault="00CC4DBD" w:rsidP="00135651">
      <w:pPr>
        <w:rPr>
          <w:rFonts w:cs="Calibri"/>
          <w:sz w:val="20"/>
          <w:szCs w:val="20"/>
        </w:rPr>
      </w:pPr>
      <w:r w:rsidRPr="00E50045">
        <w:rPr>
          <w:rFonts w:cs="Calibri"/>
          <w:b/>
          <w:sz w:val="20"/>
          <w:szCs w:val="20"/>
        </w:rPr>
        <w:t>Hongda Chen</w:t>
      </w:r>
      <w:r w:rsidRPr="00E50045">
        <w:rPr>
          <w:rFonts w:cs="Calibri"/>
          <w:sz w:val="20"/>
          <w:szCs w:val="20"/>
        </w:rPr>
        <w:t xml:space="preserve"> is the National Program Leader for Bioprocess Engineering and Nanotechnology in National Institute of Food and Agriculture (NIFA) of United States Department of Agriculture (USDA). Currently, he is appointed as a Co-Chair of the National Nanotechnology Initiative (NNI) Strategic Planning Task Force. He provides national leadership to develop, coordinate, and manage research, education and extension programs in the areas of value-added novel products for food and nonfood applications.  He received his Ph.D. in engineering from University of California, Davis, and served as professor of food engineering at the University of Vermont for more than 10 years before joining USDA/CSREES in December 2000.</w:t>
      </w:r>
    </w:p>
    <w:p w:rsidR="00CC4DBD" w:rsidRPr="00467044" w:rsidRDefault="00CC4DBD" w:rsidP="00135651">
      <w:pPr>
        <w:rPr>
          <w:rFonts w:cs="Calibri"/>
          <w:sz w:val="20"/>
          <w:szCs w:val="20"/>
        </w:rPr>
      </w:pPr>
    </w:p>
    <w:p w:rsidR="00CC4DBD" w:rsidRPr="000F7B2B" w:rsidRDefault="00CC4DBD" w:rsidP="00135651">
      <w:pPr>
        <w:spacing w:line="220" w:lineRule="exact"/>
        <w:ind w:right="44"/>
        <w:jc w:val="both"/>
        <w:rPr>
          <w:rFonts w:cs="Calibri"/>
          <w:sz w:val="20"/>
          <w:szCs w:val="20"/>
        </w:rPr>
      </w:pPr>
      <w:r w:rsidRPr="006D7E4B">
        <w:rPr>
          <w:rFonts w:cs="Calibri"/>
          <w:b/>
          <w:sz w:val="20"/>
          <w:szCs w:val="20"/>
        </w:rPr>
        <w:t>George Church</w:t>
      </w:r>
      <w:r w:rsidRPr="00E50045">
        <w:rPr>
          <w:rFonts w:cs="Calibri"/>
          <w:sz w:val="20"/>
          <w:szCs w:val="20"/>
        </w:rPr>
        <w:t xml:space="preserve"> </w:t>
      </w:r>
      <w:r w:rsidRPr="000F7B2B">
        <w:rPr>
          <w:rFonts w:cs="Calibri"/>
          <w:sz w:val="20"/>
          <w:szCs w:val="20"/>
        </w:rPr>
        <w:t xml:space="preserve">is Professor of Genetics at Harvard Medical School and Director of the Center for Computational Genetics.  His work on safer biological chassis has ranged from his seminal Nature commentary “Let Us Go Forth and Safely Multiply” to his current work on design of rE.coli.  Other projects focus on research and commercialization in human genomics (Complete Genomics, PersonalGenomes.org, 23andme, and knome) and synthetic biology (SynBERC, JouleBio, LS9) as well as development of ethics and security strategies.  His  PhD work lead to the first commercial genome sequence of pathogen Helicobacter, and the subsequent development of polonies (1999), ABI-SOLiD (2005), and the open-source Polonator.org (2007).  </w:t>
      </w:r>
    </w:p>
    <w:p w:rsidR="00CC4DBD" w:rsidRPr="00467044" w:rsidRDefault="00CC4DBD" w:rsidP="00135651">
      <w:pPr>
        <w:rPr>
          <w:rFonts w:cs="Calibri"/>
          <w:sz w:val="20"/>
          <w:szCs w:val="20"/>
        </w:rPr>
      </w:pPr>
    </w:p>
    <w:p w:rsidR="00CC4DBD" w:rsidRPr="00467044" w:rsidRDefault="00CC4DBD" w:rsidP="00135651">
      <w:pPr>
        <w:spacing w:line="220" w:lineRule="exact"/>
        <w:ind w:right="44"/>
        <w:jc w:val="both"/>
        <w:rPr>
          <w:rFonts w:cs="Calibri"/>
          <w:sz w:val="20"/>
          <w:szCs w:val="20"/>
        </w:rPr>
      </w:pPr>
      <w:r w:rsidRPr="00E50045">
        <w:rPr>
          <w:rFonts w:cs="Calibri"/>
          <w:b/>
          <w:sz w:val="20"/>
          <w:szCs w:val="20"/>
        </w:rPr>
        <w:t>Genya Dana</w:t>
      </w:r>
      <w:r w:rsidRPr="000F7B2B">
        <w:rPr>
          <w:rFonts w:cs="Calibri"/>
          <w:sz w:val="20"/>
          <w:szCs w:val="20"/>
        </w:rPr>
        <w:t xml:space="preserve"> </w:t>
      </w:r>
      <w:r w:rsidRPr="00E50045">
        <w:rPr>
          <w:rFonts w:cs="Calibri"/>
          <w:sz w:val="20"/>
          <w:szCs w:val="20"/>
        </w:rPr>
        <w:t>combines biological and social science training to investigate stakeholder involvement in ecological risk analysis, focusing on the impacts of emerging technologies such as genetically modified organisms and nanotechnology. She has a PhD in ecological risk assessment from the University of Minnesota’s Conservation Biology Graduate Program and a Masters Degree in science, technology and public policy. She has worked and done research in Europe, Africa and the US, focusing primarily on the sustainable use of biotechnology in agriculture and aquaculture systems. Genya currently holds a post doctoral position at the US Environmental Protection Agency, where she works on nanotechnology risk assessment strategy development and participatory decision analysis methodologies.</w:t>
      </w:r>
    </w:p>
    <w:p w:rsidR="00CC4DBD" w:rsidRPr="000F7B2B" w:rsidRDefault="00CC4DBD" w:rsidP="00135651">
      <w:pPr>
        <w:spacing w:line="220" w:lineRule="exact"/>
        <w:ind w:right="44"/>
        <w:jc w:val="both"/>
        <w:rPr>
          <w:rFonts w:cs="Calibri"/>
          <w:sz w:val="20"/>
          <w:szCs w:val="20"/>
        </w:rPr>
      </w:pPr>
    </w:p>
    <w:p w:rsidR="00CC4DBD" w:rsidRPr="00467044" w:rsidRDefault="00CC4DBD" w:rsidP="00DA4C3A">
      <w:pPr>
        <w:rPr>
          <w:rFonts w:cs="Calibri"/>
          <w:sz w:val="20"/>
          <w:szCs w:val="20"/>
        </w:rPr>
      </w:pPr>
      <w:r w:rsidRPr="00E50045">
        <w:rPr>
          <w:rFonts w:cs="Calibri"/>
          <w:b/>
          <w:sz w:val="20"/>
          <w:szCs w:val="20"/>
        </w:rPr>
        <w:t>Diane DeEuliis</w:t>
      </w:r>
      <w:r w:rsidRPr="00E50045">
        <w:rPr>
          <w:rFonts w:cs="Calibri"/>
          <w:sz w:val="20"/>
          <w:szCs w:val="20"/>
        </w:rPr>
        <w:t xml:space="preserve"> is the Assistant Director for Life Sciences in the President’s Office of Science and Technology Policy. Her policy focus includes a diversity of life sciences topics such as biotechnology, biosecurity, global health and Health IT, export controls and Visa issues.    A graduate of the University of Delaware, she holds a Ph.D. in cell biology.</w:t>
      </w:r>
    </w:p>
    <w:p w:rsidR="00CC4DBD" w:rsidRPr="00467044" w:rsidRDefault="00CC4DBD" w:rsidP="00135651">
      <w:pPr>
        <w:spacing w:line="220" w:lineRule="exact"/>
        <w:ind w:right="44"/>
        <w:jc w:val="both"/>
        <w:rPr>
          <w:rFonts w:cs="Calibri"/>
          <w:sz w:val="20"/>
          <w:szCs w:val="20"/>
        </w:rPr>
      </w:pPr>
    </w:p>
    <w:p w:rsidR="00CC4DBD" w:rsidRPr="00467044" w:rsidRDefault="00CC4DBD" w:rsidP="000F7B2B">
      <w:pPr>
        <w:spacing w:line="220" w:lineRule="exact"/>
        <w:ind w:right="44"/>
        <w:jc w:val="both"/>
        <w:rPr>
          <w:rFonts w:cs="Calibri"/>
          <w:sz w:val="20"/>
          <w:szCs w:val="20"/>
        </w:rPr>
      </w:pPr>
      <w:r w:rsidRPr="00E50045">
        <w:rPr>
          <w:rFonts w:cs="Calibri"/>
          <w:b/>
          <w:sz w:val="20"/>
          <w:szCs w:val="20"/>
        </w:rPr>
        <w:t>Debapriya Dutta</w:t>
      </w:r>
      <w:r w:rsidRPr="00E50045">
        <w:rPr>
          <w:rFonts w:cs="Calibri"/>
          <w:sz w:val="20"/>
          <w:szCs w:val="20"/>
        </w:rPr>
        <w:t xml:space="preserve"> is the Counselor S&amp;T, Indian Embassy, Washington DC, where he provides guidance to US public and private organizations regarding India’s initiatives in the Science and Technology fields. Prior to his current position, Dr. Dutta worked at the Dept of Science and Technology, Govt of India as an Advisor. </w:t>
      </w:r>
    </w:p>
    <w:p w:rsidR="00CC4DBD" w:rsidRPr="00467044" w:rsidRDefault="00CC4DBD" w:rsidP="00135651">
      <w:pPr>
        <w:spacing w:line="220" w:lineRule="exact"/>
        <w:ind w:right="44"/>
        <w:jc w:val="both"/>
        <w:rPr>
          <w:rFonts w:cs="Calibri"/>
          <w:sz w:val="20"/>
          <w:szCs w:val="20"/>
        </w:rPr>
      </w:pPr>
    </w:p>
    <w:p w:rsidR="00CC4DBD" w:rsidRPr="00467044" w:rsidRDefault="00CC4DBD" w:rsidP="00135651">
      <w:pPr>
        <w:pStyle w:val="Heading5"/>
        <w:spacing w:before="0" w:after="0" w:line="220" w:lineRule="exact"/>
        <w:ind w:right="44"/>
        <w:jc w:val="both"/>
        <w:rPr>
          <w:rFonts w:cs="Calibri"/>
          <w:b w:val="0"/>
          <w:bCs w:val="0"/>
          <w:i w:val="0"/>
          <w:iCs w:val="0"/>
          <w:sz w:val="20"/>
          <w:szCs w:val="20"/>
        </w:rPr>
      </w:pPr>
      <w:r>
        <w:rPr>
          <w:rFonts w:cs="Calibri"/>
          <w:bCs w:val="0"/>
          <w:i w:val="0"/>
          <w:iCs w:val="0"/>
          <w:sz w:val="20"/>
          <w:szCs w:val="20"/>
        </w:rPr>
        <w:t>Steve Evans</w:t>
      </w:r>
      <w:r>
        <w:rPr>
          <w:rFonts w:cs="Calibri"/>
          <w:b w:val="0"/>
          <w:bCs w:val="0"/>
          <w:i w:val="0"/>
          <w:iCs w:val="0"/>
          <w:sz w:val="20"/>
          <w:szCs w:val="20"/>
        </w:rPr>
        <w:t xml:space="preserve"> </w:t>
      </w:r>
      <w:r w:rsidRPr="00E50045">
        <w:rPr>
          <w:rFonts w:cs="Calibri"/>
          <w:b w:val="0"/>
          <w:bCs w:val="0"/>
          <w:i w:val="0"/>
          <w:iCs w:val="0"/>
          <w:sz w:val="20"/>
          <w:szCs w:val="20"/>
        </w:rPr>
        <w:t>serves as Vice Chair of the SynBERC Industrial Advisory Board and has over 20 years industrial experience in agricultural biotechnology.  He was intimately involved in the first US EPA registration of a sprayable recombinant microbial biopesticide, and had worked in the area of transgenic crops since the mid-1990s.  Steve has worked with EPA and USDA for risk assessment leading to release of biologicals, and allergen and toxin biosafety in commercial development.  He is a Fellow in Dow AgroSciences, the agricultural and biotech subsidiary of The Dow Chemical Company.</w:t>
      </w:r>
    </w:p>
    <w:p w:rsidR="00CC4DBD" w:rsidRPr="000F7B2B" w:rsidRDefault="00CC4DBD" w:rsidP="00135651">
      <w:pPr>
        <w:rPr>
          <w:rFonts w:cs="Calibri"/>
          <w:sz w:val="20"/>
          <w:szCs w:val="20"/>
        </w:rPr>
      </w:pPr>
    </w:p>
    <w:p w:rsidR="00CC4DBD" w:rsidRPr="000F7B2B" w:rsidRDefault="00CC4DBD" w:rsidP="00135651">
      <w:pPr>
        <w:rPr>
          <w:rFonts w:cs="Calibri"/>
          <w:sz w:val="20"/>
          <w:szCs w:val="20"/>
        </w:rPr>
      </w:pPr>
      <w:r w:rsidRPr="006D7E4B">
        <w:rPr>
          <w:rFonts w:cs="Calibri"/>
          <w:b/>
          <w:sz w:val="20"/>
          <w:szCs w:val="20"/>
        </w:rPr>
        <w:t>Eric Hoffman</w:t>
      </w:r>
      <w:r w:rsidRPr="000F7B2B">
        <w:rPr>
          <w:rFonts w:cs="Calibri"/>
          <w:sz w:val="20"/>
          <w:szCs w:val="20"/>
        </w:rPr>
        <w:t xml:space="preserve"> serves as the biotechnology policy campaigner for Friends of the Earth where he works on emerging technologies such as synthetic biology, genetic engineering, and issues around intellectual property and genetics. Previously, he worked for the National Family Farm Coalition and the Community Food Security Coalition on agriculture and anti-hunger policy.</w:t>
      </w:r>
    </w:p>
    <w:p w:rsidR="00CC4DBD" w:rsidRPr="00467044" w:rsidRDefault="00CC4DBD" w:rsidP="00135651">
      <w:pPr>
        <w:rPr>
          <w:rFonts w:cs="Calibri"/>
          <w:sz w:val="20"/>
          <w:szCs w:val="20"/>
        </w:rPr>
      </w:pPr>
    </w:p>
    <w:p w:rsidR="00CC4DBD" w:rsidRPr="00467044" w:rsidRDefault="00CC4DBD" w:rsidP="00DA4C3A">
      <w:pPr>
        <w:rPr>
          <w:rFonts w:cs="Calibri"/>
          <w:sz w:val="20"/>
          <w:szCs w:val="20"/>
        </w:rPr>
      </w:pPr>
      <w:r w:rsidRPr="00E50045">
        <w:rPr>
          <w:rFonts w:cs="Calibri"/>
          <w:b/>
          <w:sz w:val="20"/>
          <w:szCs w:val="20"/>
        </w:rPr>
        <w:t>Franca Jones</w:t>
      </w:r>
      <w:r w:rsidRPr="00E50045">
        <w:rPr>
          <w:rFonts w:cs="Calibri"/>
          <w:sz w:val="20"/>
          <w:szCs w:val="20"/>
        </w:rPr>
        <w:t xml:space="preserve"> is a Senior Policy Analyst for the National Security &amp; International Affairs Division, Office of Science and Technology Policy.  </w:t>
      </w:r>
    </w:p>
    <w:p w:rsidR="00CC4DBD" w:rsidRPr="00467044" w:rsidRDefault="00CC4DBD" w:rsidP="00135651">
      <w:pPr>
        <w:rPr>
          <w:rFonts w:cs="Calibri"/>
          <w:sz w:val="20"/>
          <w:szCs w:val="20"/>
        </w:rPr>
      </w:pPr>
    </w:p>
    <w:p w:rsidR="00CC4DBD" w:rsidRPr="00467044" w:rsidRDefault="00CC4DBD" w:rsidP="00C302F9">
      <w:pPr>
        <w:pStyle w:val="PlainText"/>
        <w:rPr>
          <w:rFonts w:ascii="Calibri" w:hAnsi="Calibri" w:cs="Calibri"/>
          <w:sz w:val="20"/>
          <w:szCs w:val="20"/>
        </w:rPr>
      </w:pPr>
      <w:r w:rsidRPr="00E50045">
        <w:rPr>
          <w:rFonts w:ascii="Calibri" w:hAnsi="Calibri" w:cs="Calibri"/>
          <w:b/>
          <w:sz w:val="20"/>
          <w:szCs w:val="20"/>
        </w:rPr>
        <w:t>Peter Jutro</w:t>
      </w:r>
      <w:r w:rsidRPr="00E50045">
        <w:rPr>
          <w:rFonts w:ascii="Calibri" w:hAnsi="Calibri" w:cs="Calibri"/>
          <w:sz w:val="20"/>
          <w:szCs w:val="20"/>
        </w:rPr>
        <w:t xml:space="preserve"> is Deputy Director for Science and Policy of EPA's National Homeland Security Research Center. He has specialized in risk analysis methodology development, focusing on biological and national security issues, He served as US negotiator for the original UN Convention on Biodiversity, under which the Biosafety Protocol was negotiated. He came to EPA after several years of teaching and conducting research at Cornell University.</w:t>
      </w:r>
    </w:p>
    <w:p w:rsidR="00CC4DBD" w:rsidRPr="00467044" w:rsidRDefault="00CC4DBD" w:rsidP="00135651">
      <w:pPr>
        <w:rPr>
          <w:rFonts w:cs="Calibri"/>
          <w:sz w:val="20"/>
          <w:szCs w:val="20"/>
        </w:rPr>
      </w:pPr>
    </w:p>
    <w:p w:rsidR="00CC4DBD" w:rsidRPr="00467044" w:rsidRDefault="00CC4DBD" w:rsidP="00135651">
      <w:pPr>
        <w:rPr>
          <w:rFonts w:cs="Calibri"/>
          <w:sz w:val="20"/>
          <w:szCs w:val="20"/>
        </w:rPr>
      </w:pPr>
      <w:r w:rsidRPr="00E50045">
        <w:rPr>
          <w:rFonts w:cs="Calibri"/>
          <w:b/>
          <w:sz w:val="20"/>
          <w:szCs w:val="20"/>
        </w:rPr>
        <w:t>Ellen Kennedy</w:t>
      </w:r>
      <w:r w:rsidRPr="00E50045">
        <w:rPr>
          <w:rFonts w:cs="Calibri"/>
          <w:sz w:val="20"/>
          <w:szCs w:val="20"/>
        </w:rPr>
        <w:t xml:space="preserve"> is a Senior Social Research Analyst with Calvert Group, Ltd., an investment firm offering sustainable and responsible mutual funds.  Ms. Kennedy focuses on the food, restaurant, agriculture, and cosmetics industries.  Her expertise also includes consumer safety, toxics/emerging risks, and supply chain sustainability. Prior to joining Calvert, Ms. Kennedy worked for Winrock International on alternative energy and agriculture in Latin America.</w:t>
      </w:r>
    </w:p>
    <w:p w:rsidR="00CC4DBD" w:rsidRPr="00467044" w:rsidRDefault="00CC4DBD" w:rsidP="00135651">
      <w:pPr>
        <w:pStyle w:val="NormalWeb"/>
        <w:rPr>
          <w:rFonts w:ascii="Calibri" w:eastAsia="Times New Roman" w:hAnsi="Calibri" w:cs="Calibri"/>
          <w:sz w:val="20"/>
          <w:szCs w:val="20"/>
        </w:rPr>
      </w:pPr>
      <w:r w:rsidRPr="00E50045">
        <w:rPr>
          <w:rFonts w:ascii="Calibri" w:eastAsia="Times New Roman" w:hAnsi="Calibri" w:cs="Calibri"/>
          <w:b/>
          <w:sz w:val="20"/>
          <w:szCs w:val="20"/>
        </w:rPr>
        <w:t>Todd Kuiken</w:t>
      </w:r>
      <w:r w:rsidRPr="00E50045">
        <w:rPr>
          <w:rFonts w:ascii="Calibri" w:eastAsia="Times New Roman" w:hAnsi="Calibri" w:cs="Calibri"/>
          <w:sz w:val="20"/>
          <w:szCs w:val="20"/>
        </w:rPr>
        <w:t xml:space="preserve"> is a research associate for the Synthetic Biology Project at the Woodrow Wilson International Center for Scholars. He is collaborating with DIYbio.org on a project to ensure safety within the rapidly expanding community of amateur biologists. He previously worked with the Project on Emerging Nanotechnologies at the Woodrow Wilson International Center for Scholars; focusing on the environmental health and safety and public policy aspects of nanotechnology. He speaks frequently on public policy issues related to nanotechnology and has published numerous articles on nanotechnology and mercury cycling.</w:t>
      </w:r>
    </w:p>
    <w:p w:rsidR="00CC4DBD" w:rsidRPr="00467044" w:rsidRDefault="00CC4DBD" w:rsidP="00135651">
      <w:pPr>
        <w:spacing w:line="220" w:lineRule="exact"/>
        <w:ind w:right="44"/>
        <w:jc w:val="both"/>
        <w:rPr>
          <w:rFonts w:cs="Calibri"/>
          <w:sz w:val="20"/>
          <w:szCs w:val="20"/>
        </w:rPr>
      </w:pPr>
      <w:r w:rsidRPr="00E50045">
        <w:rPr>
          <w:rFonts w:cs="Calibri"/>
          <w:b/>
          <w:sz w:val="20"/>
          <w:szCs w:val="20"/>
        </w:rPr>
        <w:t>Allen Lin</w:t>
      </w:r>
      <w:r w:rsidRPr="00E50045">
        <w:rPr>
          <w:rFonts w:cs="Calibri"/>
          <w:sz w:val="20"/>
          <w:szCs w:val="20"/>
        </w:rPr>
        <w:t xml:space="preserve"> is a rising senior at MIT pursuing degrees in chemical-biological engineering, a combined B.Sc.-M.Sc. in electrical engineering and computer science, and a minor in political science.  He has constructed a genetic device that stochastically activates and deactivates genes under Christina Smolke at Caltech and Stanford through the iGEM competition.  His thesis work under Ron Weiss applies methods of synthetic biology and metabolic engineering to drug and biofuel production, with assessment of the safety and security of methods as integral to the research.</w:t>
      </w:r>
    </w:p>
    <w:p w:rsidR="00CC4DBD" w:rsidRPr="00467044" w:rsidRDefault="00CC4DBD" w:rsidP="00135651">
      <w:pPr>
        <w:spacing w:line="220" w:lineRule="exact"/>
        <w:ind w:right="44"/>
        <w:jc w:val="both"/>
        <w:rPr>
          <w:rFonts w:cs="Calibri"/>
          <w:sz w:val="20"/>
          <w:szCs w:val="20"/>
        </w:rPr>
      </w:pPr>
    </w:p>
    <w:p w:rsidR="00CC4DBD" w:rsidRPr="00467044" w:rsidRDefault="00CC4DBD" w:rsidP="000F7B2B">
      <w:pPr>
        <w:spacing w:line="220" w:lineRule="exact"/>
        <w:ind w:right="44"/>
        <w:jc w:val="both"/>
        <w:rPr>
          <w:rFonts w:cs="Calibri"/>
          <w:sz w:val="20"/>
          <w:szCs w:val="20"/>
        </w:rPr>
      </w:pPr>
      <w:r w:rsidRPr="00E50045">
        <w:rPr>
          <w:rFonts w:cs="Calibri"/>
          <w:b/>
          <w:sz w:val="20"/>
          <w:szCs w:val="20"/>
        </w:rPr>
        <w:t>Anne-Marie Mazza</w:t>
      </w:r>
      <w:r w:rsidRPr="00E50045">
        <w:rPr>
          <w:rFonts w:cs="Calibri"/>
          <w:sz w:val="20"/>
          <w:szCs w:val="20"/>
        </w:rPr>
        <w:t xml:space="preserve"> is the Director of the Committee on Science Technology and Law for the National Academy of Sciences.  She joined the National Academies in 1995 and she has served as Senior Program Officer with both the Committee on Science, Engineering and Public Policy and the Government-University-Industry Research Roundtable. In 1999 she was named the first director of the Science, Technology, and Law Program. Between October 1999 and October 2000, she divided her time between the STL Program and the White House Office of Science and Technology Policy, where she served as a Senior Policy Analyst. She received her B.A., M.A., and Ph.D. degrees from George Washington University.</w:t>
      </w:r>
    </w:p>
    <w:p w:rsidR="00CC4DBD" w:rsidRPr="00467044" w:rsidRDefault="00CC4DBD" w:rsidP="000F7B2B">
      <w:pPr>
        <w:spacing w:line="220" w:lineRule="exact"/>
        <w:ind w:right="44"/>
        <w:jc w:val="both"/>
        <w:rPr>
          <w:rFonts w:cs="Calibri"/>
          <w:sz w:val="20"/>
          <w:szCs w:val="20"/>
        </w:rPr>
      </w:pPr>
    </w:p>
    <w:p w:rsidR="00CC4DBD" w:rsidRPr="00467044" w:rsidRDefault="00CC4DBD" w:rsidP="00135651">
      <w:pPr>
        <w:spacing w:line="220" w:lineRule="exact"/>
        <w:ind w:right="44"/>
        <w:jc w:val="both"/>
        <w:rPr>
          <w:rFonts w:cs="Calibri"/>
          <w:sz w:val="20"/>
          <w:szCs w:val="20"/>
        </w:rPr>
      </w:pPr>
      <w:r w:rsidRPr="00E50045">
        <w:rPr>
          <w:rFonts w:cs="Calibri"/>
          <w:b/>
          <w:sz w:val="20"/>
          <w:szCs w:val="20"/>
        </w:rPr>
        <w:t>Lawrence McCray</w:t>
      </w:r>
      <w:r w:rsidRPr="00E50045">
        <w:rPr>
          <w:rFonts w:cs="Calibri"/>
          <w:sz w:val="20"/>
          <w:szCs w:val="20"/>
        </w:rPr>
        <w:t xml:space="preserve"> directs the project on Knowledge Assessment at MIT. His focus is on practical procedures to provide timely and relevant information to public and private decision makers dealing with risk and uncertainty.  His current work examines Planned Adaptation and Red Teaming as approaches to fostering organizational learning.  He has extensive Washington experience, with work on knowledge-assessment and regulatory-reform at EPA, the Executive Office of the President, and the National Academy of Sciences, where he founded the Policy Division of the NRC and oversaw production of “Red Book” on Risk Assessment in the Federal Government.</w:t>
      </w:r>
    </w:p>
    <w:p w:rsidR="00CC4DBD" w:rsidRPr="00467044" w:rsidRDefault="00CC4DBD" w:rsidP="00135651">
      <w:pPr>
        <w:spacing w:line="220" w:lineRule="exact"/>
        <w:ind w:right="44"/>
        <w:jc w:val="both"/>
        <w:rPr>
          <w:rFonts w:cs="Calibri"/>
          <w:sz w:val="20"/>
          <w:szCs w:val="20"/>
        </w:rPr>
      </w:pPr>
    </w:p>
    <w:p w:rsidR="00CC4DBD" w:rsidRPr="000F7B2B" w:rsidRDefault="00CC4DBD" w:rsidP="00135651">
      <w:pPr>
        <w:spacing w:line="220" w:lineRule="exact"/>
        <w:ind w:right="44"/>
        <w:jc w:val="both"/>
        <w:rPr>
          <w:rFonts w:cs="Calibri"/>
          <w:sz w:val="20"/>
          <w:szCs w:val="20"/>
        </w:rPr>
      </w:pPr>
      <w:r>
        <w:rPr>
          <w:rFonts w:cs="Calibri"/>
          <w:b/>
          <w:sz w:val="20"/>
          <w:szCs w:val="20"/>
        </w:rPr>
        <w:t>Scott C. Mohr</w:t>
      </w:r>
      <w:r w:rsidRPr="00E50045">
        <w:rPr>
          <w:rFonts w:cs="Calibri"/>
          <w:sz w:val="20"/>
          <w:szCs w:val="20"/>
        </w:rPr>
        <w:t xml:space="preserve"> </w:t>
      </w:r>
      <w:r w:rsidRPr="000F7B2B">
        <w:rPr>
          <w:rFonts w:cs="Calibri"/>
          <w:sz w:val="20"/>
          <w:szCs w:val="20"/>
        </w:rPr>
        <w:t xml:space="preserve">is a Professor of Chemistry at Boston University, where he specializes in biophysical chemistry and bioinformatics.  He is a graduate of Williams College, </w:t>
      </w:r>
      <w:r w:rsidRPr="00E50045">
        <w:rPr>
          <w:rFonts w:cs="Calibri"/>
          <w:sz w:val="20"/>
          <w:szCs w:val="20"/>
        </w:rPr>
        <w:t xml:space="preserve">summa cum laude, </w:t>
      </w:r>
      <w:r w:rsidRPr="000F7B2B">
        <w:rPr>
          <w:rFonts w:cs="Calibri"/>
          <w:sz w:val="20"/>
          <w:szCs w:val="20"/>
        </w:rPr>
        <w:t xml:space="preserve">and received his Ph.D. from Harvard University.  He is a member of Sigma Xi and has been an NIH Postdoctoral Fellow, a Danforth Fellow, and an NSF Fellow.  His work has been published in, among other journals, </w:t>
      </w:r>
      <w:r w:rsidRPr="00E50045">
        <w:rPr>
          <w:rFonts w:cs="Calibri"/>
          <w:sz w:val="20"/>
          <w:szCs w:val="20"/>
        </w:rPr>
        <w:t xml:space="preserve">Molecular Phylogenetics and Evolution, Science, </w:t>
      </w:r>
      <w:r w:rsidRPr="000F7B2B">
        <w:rPr>
          <w:rFonts w:cs="Calibri"/>
          <w:sz w:val="20"/>
          <w:szCs w:val="20"/>
        </w:rPr>
        <w:t xml:space="preserve">and </w:t>
      </w:r>
      <w:r w:rsidRPr="00E50045">
        <w:rPr>
          <w:rFonts w:cs="Calibri"/>
          <w:sz w:val="20"/>
          <w:szCs w:val="20"/>
        </w:rPr>
        <w:t xml:space="preserve">Genome Biology. </w:t>
      </w:r>
      <w:r w:rsidRPr="000F7B2B">
        <w:rPr>
          <w:rFonts w:cs="Calibri"/>
          <w:sz w:val="20"/>
          <w:szCs w:val="20"/>
        </w:rPr>
        <w:t>He serves as Director of Graduate Studies for Boston University’s Bioinformatics Program.</w:t>
      </w:r>
    </w:p>
    <w:p w:rsidR="00CC4DBD" w:rsidRPr="000F7B2B" w:rsidRDefault="00CC4DBD" w:rsidP="00135651">
      <w:pPr>
        <w:spacing w:line="220" w:lineRule="exact"/>
        <w:ind w:right="44"/>
        <w:jc w:val="both"/>
        <w:rPr>
          <w:rFonts w:cs="Calibri"/>
          <w:sz w:val="20"/>
          <w:szCs w:val="20"/>
        </w:rPr>
      </w:pPr>
    </w:p>
    <w:p w:rsidR="00CC4DBD" w:rsidRPr="000F7B2B" w:rsidRDefault="00CC4DBD" w:rsidP="00135651">
      <w:pPr>
        <w:rPr>
          <w:rFonts w:cs="Calibri"/>
          <w:sz w:val="20"/>
          <w:szCs w:val="20"/>
        </w:rPr>
      </w:pPr>
      <w:r>
        <w:rPr>
          <w:rFonts w:cs="Calibri"/>
          <w:b/>
          <w:sz w:val="20"/>
          <w:szCs w:val="20"/>
        </w:rPr>
        <w:t>Gautam Mukunda</w:t>
      </w:r>
      <w:r w:rsidRPr="000F7B2B">
        <w:rPr>
          <w:rFonts w:cs="Calibri"/>
          <w:sz w:val="20"/>
          <w:szCs w:val="20"/>
        </w:rPr>
        <w:t xml:space="preserve"> is the CEO and a co-founder of Lumin Sensors . He is also a National Science Foundation Synthetic Biology ERC Postdoctoral Fellow resident at MIT’s Center for International Studies.  He received his PhD from MIT's </w:t>
      </w:r>
      <w:hyperlink r:id="rId53" w:tgtFrame="_blank" w:tooltip="Department of Political Science" w:history="1">
        <w:r w:rsidRPr="000F7B2B">
          <w:rPr>
            <w:rFonts w:cs="Calibri"/>
            <w:sz w:val="20"/>
            <w:szCs w:val="20"/>
          </w:rPr>
          <w:t>Department of Political Science</w:t>
        </w:r>
      </w:hyperlink>
      <w:r w:rsidRPr="000F7B2B">
        <w:rPr>
          <w:rFonts w:cs="Calibri"/>
          <w:sz w:val="20"/>
          <w:szCs w:val="20"/>
        </w:rPr>
        <w:t> where he was a member of the </w:t>
      </w:r>
      <w:hyperlink r:id="rId54" w:tgtFrame="_blank" w:tooltip="Security Studies Program" w:history="1">
        <w:r w:rsidRPr="000F7B2B">
          <w:rPr>
            <w:rFonts w:cs="Calibri"/>
            <w:sz w:val="20"/>
            <w:szCs w:val="20"/>
          </w:rPr>
          <w:t>Security Studies Program</w:t>
        </w:r>
      </w:hyperlink>
      <w:r w:rsidRPr="000F7B2B">
        <w:rPr>
          <w:rFonts w:cs="Calibri"/>
          <w:sz w:val="20"/>
          <w:szCs w:val="20"/>
        </w:rPr>
        <w:t> and the </w:t>
      </w:r>
      <w:hyperlink r:id="rId55" w:tgtFrame="_blank" w:tooltip="Program on Emerging Technologies" w:history="1">
        <w:r w:rsidRPr="000F7B2B">
          <w:rPr>
            <w:rFonts w:cs="Calibri"/>
            <w:sz w:val="20"/>
            <w:szCs w:val="20"/>
          </w:rPr>
          <w:t>Program on Emerging Technologies</w:t>
        </w:r>
      </w:hyperlink>
      <w:r w:rsidRPr="000F7B2B">
        <w:rPr>
          <w:rFonts w:cs="Calibri"/>
          <w:sz w:val="20"/>
          <w:szCs w:val="20"/>
        </w:rPr>
        <w:t xml:space="preserve">.  Before graduate school he was a consultant with McKinsey &amp; Company specializing in the pharmaceutical sector.  His research on military innovation and the economic and security implications of synthetic biology has been published in Security Studies, Politics and the Life Sciences, Parameters, and Systems and Synthetic Biology.  </w:t>
      </w:r>
    </w:p>
    <w:p w:rsidR="00CC4DBD" w:rsidRPr="000F7B2B" w:rsidRDefault="00CC4DBD" w:rsidP="00135651">
      <w:pPr>
        <w:rPr>
          <w:rFonts w:cs="Calibri"/>
          <w:sz w:val="20"/>
          <w:szCs w:val="20"/>
        </w:rPr>
      </w:pPr>
    </w:p>
    <w:p w:rsidR="00CC4DBD" w:rsidRPr="00467044" w:rsidRDefault="00CC4DBD" w:rsidP="00937B60">
      <w:pPr>
        <w:rPr>
          <w:rFonts w:cs="Calibri"/>
          <w:sz w:val="20"/>
          <w:szCs w:val="20"/>
        </w:rPr>
      </w:pPr>
      <w:r w:rsidRPr="006D7E4B">
        <w:rPr>
          <w:rFonts w:cs="Calibri"/>
          <w:b/>
          <w:sz w:val="20"/>
          <w:szCs w:val="20"/>
        </w:rPr>
        <w:t>Rebecca Ochoa</w:t>
      </w:r>
      <w:r w:rsidRPr="006D7E4B">
        <w:rPr>
          <w:rFonts w:cs="Calibri"/>
          <w:sz w:val="20"/>
          <w:szCs w:val="20"/>
        </w:rPr>
        <w:t xml:space="preserve"> serves as a program coordinator and administrative assistant for the Synthetic Biology Policy group in the MIT Center for International Studies.   Rebecca also supports the Director of Public Programs at MIT</w:t>
      </w:r>
      <w:r w:rsidRPr="00786EB3">
        <w:rPr>
          <w:rFonts w:cs="Calibri"/>
          <w:sz w:val="20"/>
          <w:szCs w:val="20"/>
        </w:rPr>
        <w:t xml:space="preserve"> CIS.  Her interest in risk governance extends beyond the logistical and administrative.  Before coming to MIT, Rebecca worked on risk assessment and management issues in pharmaceuticals.   </w:t>
      </w:r>
    </w:p>
    <w:p w:rsidR="00CC4DBD" w:rsidRPr="00467044" w:rsidRDefault="00CC4DBD" w:rsidP="00135651">
      <w:pPr>
        <w:pStyle w:val="NormalWeb"/>
        <w:spacing w:before="0" w:beforeAutospacing="0" w:after="0" w:afterAutospacing="0" w:line="220" w:lineRule="exact"/>
        <w:ind w:right="44"/>
        <w:jc w:val="both"/>
        <w:rPr>
          <w:rFonts w:ascii="Calibri" w:eastAsia="Times New Roman" w:hAnsi="Calibri" w:cs="Calibri"/>
          <w:sz w:val="20"/>
          <w:szCs w:val="20"/>
        </w:rPr>
      </w:pPr>
    </w:p>
    <w:p w:rsidR="00CC4DBD" w:rsidRPr="00467044" w:rsidRDefault="00CC4DBD" w:rsidP="00135651">
      <w:pPr>
        <w:jc w:val="both"/>
        <w:rPr>
          <w:rFonts w:cs="Calibri"/>
          <w:sz w:val="20"/>
          <w:szCs w:val="20"/>
        </w:rPr>
      </w:pPr>
      <w:bookmarkStart w:id="115" w:name="OLE_LINK1"/>
      <w:r w:rsidRPr="00EF6C0C">
        <w:rPr>
          <w:b/>
          <w:sz w:val="20"/>
          <w:szCs w:val="20"/>
        </w:rPr>
        <w:t>Kenneth A. Oye</w:t>
      </w:r>
      <w:bookmarkEnd w:id="115"/>
      <w:r w:rsidRPr="00E50045">
        <w:rPr>
          <w:rFonts w:cs="Calibri"/>
          <w:sz w:val="20"/>
          <w:szCs w:val="20"/>
        </w:rPr>
        <w:t xml:space="preserve"> is Director of the Program on Emerging Technologies and Associate Professor of Political Science and Engineering Systems at MIT. His current research centers on responses to uncertainty over risks, benefits and ownership of technologies.  Recent pieces include “Planned Adaptation in Risk Regulation: A Review of US EHS Regulation” (McCray/Oye/Petersen, Tech Forecasting &amp; Social Change, July 2010); “The Intellectual Commons and Property in Synthetic Biology” (Oye/Wellhausen, in Synthetic Biology, 2009); “Embracing Uncertainty” (Oye, Issues in Science and Technology, Fall 2009); “Synthetic Biology and the Future of Biosecurity,” (Mukunda/Oye/Mohr, Politics and the Life Sciences, Fall 2009).  He is Scientific Advisor to the International Risk Governance Council and an NSF SynBERC faculty investigator and has consulted for US Treasury/EXIM/Commerce and UN.  He holds a Swarthmore BA in Economics and Political Science with Highest Honors and a Harvard PhD in Political Science with Chase Dissertation Prize. </w:t>
      </w:r>
    </w:p>
    <w:p w:rsidR="00CC4DBD" w:rsidRPr="00467044" w:rsidRDefault="00CC4DBD" w:rsidP="00135651">
      <w:pPr>
        <w:jc w:val="both"/>
        <w:rPr>
          <w:rFonts w:cs="Calibri"/>
          <w:sz w:val="20"/>
          <w:szCs w:val="20"/>
        </w:rPr>
      </w:pPr>
    </w:p>
    <w:p w:rsidR="00CC4DBD" w:rsidRPr="00467044" w:rsidRDefault="00CC4DBD" w:rsidP="00135651">
      <w:pPr>
        <w:rPr>
          <w:rFonts w:cs="Calibri"/>
          <w:sz w:val="20"/>
          <w:szCs w:val="20"/>
        </w:rPr>
      </w:pPr>
      <w:r w:rsidRPr="00E50045">
        <w:rPr>
          <w:rFonts w:cs="Calibri"/>
          <w:b/>
          <w:sz w:val="20"/>
          <w:szCs w:val="20"/>
        </w:rPr>
        <w:t xml:space="preserve">Alan Pearson </w:t>
      </w:r>
      <w:r w:rsidRPr="00E50045">
        <w:rPr>
          <w:rFonts w:cs="Calibri"/>
          <w:sz w:val="20"/>
          <w:szCs w:val="20"/>
        </w:rPr>
        <w:t xml:space="preserve">works in Biotechnology Regulatory Services for the USDA-APHIS.  He has a PhD in Biochemistry, cellular and molecular biology from MIT.  Previously, he served as the Director of the Biological and Chemical Weapons Control Program for the Center for Arms Control and Non-Proliferation.  </w:t>
      </w:r>
    </w:p>
    <w:p w:rsidR="00CC4DBD" w:rsidRPr="00467044" w:rsidRDefault="00CC4DBD" w:rsidP="00135651">
      <w:pPr>
        <w:spacing w:line="220" w:lineRule="exact"/>
        <w:ind w:right="44"/>
        <w:jc w:val="both"/>
        <w:rPr>
          <w:rFonts w:cs="Calibri"/>
          <w:sz w:val="20"/>
          <w:szCs w:val="20"/>
        </w:rPr>
      </w:pPr>
    </w:p>
    <w:p w:rsidR="00CC4DBD" w:rsidRDefault="00CC4DBD" w:rsidP="00135651">
      <w:pPr>
        <w:spacing w:line="220" w:lineRule="exact"/>
        <w:ind w:right="44"/>
        <w:jc w:val="both"/>
        <w:rPr>
          <w:rFonts w:cs="Calibri"/>
          <w:sz w:val="20"/>
          <w:szCs w:val="20"/>
        </w:rPr>
      </w:pPr>
      <w:r w:rsidRPr="006D7E4B">
        <w:rPr>
          <w:rFonts w:cs="Calibri"/>
          <w:b/>
          <w:sz w:val="20"/>
          <w:szCs w:val="20"/>
        </w:rPr>
        <w:t>David Rejeski</w:t>
      </w:r>
      <w:r w:rsidRPr="000F7B2B">
        <w:rPr>
          <w:rFonts w:cs="Calibri"/>
          <w:sz w:val="20"/>
          <w:szCs w:val="20"/>
        </w:rPr>
        <w:t xml:space="preserve"> is Director of the Woodrow Wilson Center Foresight and Governance Project, with work on both synthetic biology and nanotechnologies.  He currently serves on the EPA Science Advisory Board, and has served as a Fellow at the Yale University School of Forestry and Environmental Studies, as an agency representative from the EPA to White House Council on Environmental Quality, and worked at the White House Office of Science and Technology.  His publications have focused on science, technology, and policy issues, in areas ranging from genetics to electronic commerce and pervasive computing.  His publications include </w:t>
      </w:r>
      <w:r w:rsidRPr="00E50045">
        <w:rPr>
          <w:rFonts w:cs="Calibri"/>
          <w:sz w:val="20"/>
          <w:szCs w:val="20"/>
        </w:rPr>
        <w:t>Environmentalism and the Technologies of Tomorrow: Shaping the Next Industrial Revolution</w:t>
      </w:r>
      <w:r w:rsidRPr="000F7B2B">
        <w:rPr>
          <w:rFonts w:cs="Calibri"/>
          <w:sz w:val="20"/>
          <w:szCs w:val="20"/>
        </w:rPr>
        <w:t xml:space="preserve">. </w:t>
      </w:r>
    </w:p>
    <w:p w:rsidR="00CC4DBD" w:rsidRPr="00965394" w:rsidRDefault="00CC4DBD" w:rsidP="00135651">
      <w:pPr>
        <w:spacing w:line="220" w:lineRule="exact"/>
        <w:ind w:right="44"/>
        <w:jc w:val="both"/>
        <w:rPr>
          <w:rFonts w:cs="Calibri"/>
          <w:b/>
          <w:sz w:val="20"/>
          <w:szCs w:val="20"/>
        </w:rPr>
      </w:pPr>
    </w:p>
    <w:p w:rsidR="00CC4DBD" w:rsidRPr="00965394" w:rsidRDefault="00CC4DBD" w:rsidP="00135651">
      <w:pPr>
        <w:spacing w:line="220" w:lineRule="exact"/>
        <w:ind w:right="44"/>
        <w:jc w:val="both"/>
        <w:rPr>
          <w:rFonts w:cs="Calibri"/>
          <w:sz w:val="20"/>
          <w:szCs w:val="20"/>
        </w:rPr>
      </w:pPr>
      <w:r w:rsidRPr="00786EB3">
        <w:rPr>
          <w:rFonts w:cs="Calibri"/>
          <w:b/>
          <w:sz w:val="20"/>
          <w:szCs w:val="20"/>
        </w:rPr>
        <w:t>Kevin Reynolds</w:t>
      </w:r>
      <w:r w:rsidRPr="00E50045">
        <w:rPr>
          <w:rFonts w:cs="Calibri"/>
          <w:sz w:val="20"/>
          <w:szCs w:val="20"/>
        </w:rPr>
        <w:t xml:space="preserve"> is a </w:t>
      </w:r>
      <w:r>
        <w:rPr>
          <w:rFonts w:cs="Calibri"/>
          <w:sz w:val="20"/>
          <w:szCs w:val="20"/>
        </w:rPr>
        <w:t xml:space="preserve">NRDAR and Spill Response Coordinator, Division of Environmental Quality for the U.S. Fish and Wildlife Service.  </w:t>
      </w:r>
    </w:p>
    <w:p w:rsidR="00CC4DBD" w:rsidRPr="00937B60" w:rsidRDefault="00CC4DBD" w:rsidP="00135651">
      <w:pPr>
        <w:spacing w:line="220" w:lineRule="exact"/>
        <w:ind w:right="44"/>
        <w:jc w:val="both"/>
        <w:rPr>
          <w:rFonts w:cs="Calibri"/>
          <w:sz w:val="20"/>
          <w:szCs w:val="20"/>
        </w:rPr>
      </w:pPr>
    </w:p>
    <w:p w:rsidR="00CC4DBD" w:rsidRPr="006160CB" w:rsidRDefault="00CC4DBD" w:rsidP="006160CB">
      <w:pPr>
        <w:rPr>
          <w:rFonts w:cs="Calibri"/>
          <w:sz w:val="20"/>
          <w:szCs w:val="20"/>
        </w:rPr>
      </w:pPr>
      <w:r w:rsidRPr="00786EB3">
        <w:rPr>
          <w:rFonts w:cs="Calibri"/>
          <w:b/>
          <w:sz w:val="20"/>
          <w:szCs w:val="20"/>
        </w:rPr>
        <w:t>Jessica M. Tucker</w:t>
      </w:r>
      <w:r w:rsidRPr="00E50045">
        <w:rPr>
          <w:rFonts w:cs="Calibri"/>
          <w:sz w:val="20"/>
          <w:szCs w:val="20"/>
        </w:rPr>
        <w:t xml:space="preserve"> is a Senior Policy Analyst/Contractor supporting the mission of the U.S. Department of Health and Human Services in the Office of the Assistant Secretary for Preparedness and Response, and she previously worked in the same office as an AAAS Science and Technology Policy Fellow. Some of her projects are on issues such as synthetic DNA and biosecurity, and pandemic influenza preparedness and response. Jessica has a B.S.E. and Ph.D. in Chemical Engineering, and her chemical engineering research focused on the development of polymeric drug delivery formulations. She also has performed research or taught classes on topics such as engineering education, bioethics, and social justice issues in engineering.</w:t>
      </w:r>
    </w:p>
    <w:p w:rsidR="00CC4DBD" w:rsidRPr="00E50045" w:rsidRDefault="00CC4DBD" w:rsidP="00E50045">
      <w:pPr>
        <w:pStyle w:val="Default"/>
        <w:rPr>
          <w:rFonts w:cs="Calibri"/>
          <w:sz w:val="20"/>
          <w:szCs w:val="20"/>
        </w:rPr>
      </w:pPr>
    </w:p>
    <w:p w:rsidR="00CC4DBD" w:rsidRPr="00467044" w:rsidRDefault="00CC4DBD" w:rsidP="00135651">
      <w:pPr>
        <w:rPr>
          <w:rFonts w:cs="Calibri"/>
          <w:sz w:val="20"/>
          <w:szCs w:val="20"/>
        </w:rPr>
      </w:pPr>
      <w:r w:rsidRPr="00E50045">
        <w:rPr>
          <w:rFonts w:cs="Calibri"/>
          <w:b/>
          <w:sz w:val="20"/>
          <w:szCs w:val="20"/>
        </w:rPr>
        <w:t>Peter Yeadon</w:t>
      </w:r>
      <w:r w:rsidRPr="00E50045">
        <w:rPr>
          <w:rFonts w:cs="Calibri"/>
          <w:sz w:val="20"/>
          <w:szCs w:val="20"/>
        </w:rPr>
        <w:t xml:space="preserve"> is a Partner at Decker Yeadon LLC in New York City, a firm that focuses on applications for emergent materials. He is also an Associate Professor at the Rhode Island School of Design (RISD), where he teaches advanced design studios on smart materials and nanotechnology in the Department of Industrial Design. Prior to RISD, Yeadon was a faculty member at Cornell University and the University of Toronto.</w:t>
      </w:r>
    </w:p>
    <w:p w:rsidR="00CC4DBD" w:rsidRPr="00467044" w:rsidRDefault="00CC4DBD" w:rsidP="00135651">
      <w:pPr>
        <w:rPr>
          <w:rFonts w:cs="Calibri"/>
          <w:sz w:val="20"/>
          <w:szCs w:val="20"/>
        </w:rPr>
      </w:pPr>
      <w:r w:rsidRPr="00E50045">
        <w:rPr>
          <w:rFonts w:cs="Calibri"/>
          <w:sz w:val="20"/>
          <w:szCs w:val="20"/>
        </w:rPr>
        <w:t>__</w:t>
      </w:r>
    </w:p>
    <w:p w:rsidR="00CC4DBD" w:rsidRPr="00467044" w:rsidRDefault="00CC4DBD" w:rsidP="00135651">
      <w:pPr>
        <w:rPr>
          <w:rFonts w:cs="Calibri"/>
          <w:sz w:val="20"/>
          <w:szCs w:val="20"/>
        </w:rPr>
      </w:pPr>
    </w:p>
    <w:p w:rsidR="00CC4DBD" w:rsidRPr="00467044" w:rsidRDefault="00CC4DBD" w:rsidP="00706601">
      <w:pPr>
        <w:spacing w:line="220" w:lineRule="exact"/>
        <w:ind w:right="44"/>
        <w:jc w:val="both"/>
        <w:rPr>
          <w:rFonts w:cs="Calibri"/>
          <w:sz w:val="20"/>
          <w:szCs w:val="20"/>
        </w:rPr>
      </w:pPr>
      <w:r w:rsidRPr="00E50045">
        <w:rPr>
          <w:rFonts w:cs="Calibri"/>
          <w:b/>
          <w:sz w:val="20"/>
          <w:szCs w:val="20"/>
        </w:rPr>
        <w:t>Pernilla Regardh</w:t>
      </w:r>
      <w:r w:rsidRPr="00E50045">
        <w:rPr>
          <w:rFonts w:cs="Calibri"/>
          <w:sz w:val="20"/>
          <w:szCs w:val="20"/>
        </w:rPr>
        <w:t xml:space="preserve"> is a graduate student in the Technology and Policy Program at MIT, focusing on environmental biotechnology and synthetic biology. Her current research involves studying applications of synthetic engineering and synthetic biology for biological soil remediation. The study has both technical and regulatory dimensions: it examines and compares the potentials of synthetic biology and genetic engineering, and compares and contrasts US and EU regulations concerning bioremediation, genetic engineering and synthetic biology. She has a B.A. in Political Science and a B.Sc. in Biotechnology and has worked as a technical consultant in soil remediation.</w:t>
      </w:r>
    </w:p>
    <w:p w:rsidR="00CC4DBD" w:rsidRPr="00467044" w:rsidRDefault="00CC4DBD" w:rsidP="00706601">
      <w:pPr>
        <w:spacing w:line="220" w:lineRule="exact"/>
        <w:ind w:right="44"/>
        <w:jc w:val="both"/>
        <w:rPr>
          <w:rFonts w:cs="Calibri"/>
          <w:sz w:val="20"/>
          <w:szCs w:val="20"/>
        </w:rPr>
      </w:pPr>
    </w:p>
    <w:p w:rsidR="00CC4DBD" w:rsidRPr="00467044" w:rsidRDefault="00CC4DBD" w:rsidP="002639A4">
      <w:pPr>
        <w:spacing w:line="220" w:lineRule="exact"/>
        <w:ind w:right="44"/>
        <w:jc w:val="both"/>
        <w:rPr>
          <w:rFonts w:cs="Calibri"/>
          <w:sz w:val="20"/>
          <w:szCs w:val="20"/>
        </w:rPr>
      </w:pPr>
      <w:r w:rsidRPr="00E50045">
        <w:rPr>
          <w:rFonts w:cs="Calibri"/>
          <w:b/>
          <w:sz w:val="20"/>
          <w:szCs w:val="20"/>
        </w:rPr>
        <w:t>Peter Goodings Swartz</w:t>
      </w:r>
      <w:r w:rsidRPr="00E50045">
        <w:rPr>
          <w:rFonts w:cs="Calibri"/>
          <w:sz w:val="20"/>
          <w:szCs w:val="20"/>
        </w:rPr>
        <w:t xml:space="preserve"> is a PhD student in MIT Political Science. He holds a dual B.A. in Engineering Science and Environmental and International Studies from Yale and is completing a MSc. program in Civil Engineering at the Ecole Polytechnique Fédérale de Lausanne. His interests include optimization of complex systems and political economy, with a particular focus on international commodities markets. In 2006, Peter worked at a water utility in a heavily polluted region of South India. His interest in synthetic-biology is based upon its potential for energy production and the general interest of intersection of science and policy.</w:t>
      </w:r>
    </w:p>
    <w:p w:rsidR="00CC4DBD" w:rsidRPr="00467044" w:rsidRDefault="00CC4DBD" w:rsidP="002639A4">
      <w:pPr>
        <w:spacing w:line="220" w:lineRule="exact"/>
        <w:ind w:right="44"/>
        <w:jc w:val="both"/>
        <w:rPr>
          <w:rFonts w:cs="Calibri"/>
          <w:sz w:val="20"/>
          <w:szCs w:val="20"/>
        </w:rPr>
      </w:pPr>
    </w:p>
    <w:p w:rsidR="00CC4DBD" w:rsidRDefault="00CC4DBD" w:rsidP="00340D4B">
      <w:pPr>
        <w:spacing w:line="220" w:lineRule="exact"/>
        <w:ind w:right="44"/>
        <w:rPr>
          <w:rFonts w:eastAsia="MS PGothic"/>
          <w:sz w:val="20"/>
          <w:szCs w:val="20"/>
        </w:rPr>
      </w:pPr>
    </w:p>
    <w:p w:rsidR="00CC4DBD" w:rsidRDefault="00CC4DBD" w:rsidP="00303586">
      <w:pPr>
        <w:spacing w:line="220" w:lineRule="exact"/>
        <w:ind w:right="44"/>
        <w:jc w:val="center"/>
        <w:rPr>
          <w:b/>
          <w:bCs/>
          <w:iCs/>
        </w:rPr>
      </w:pPr>
      <w:r>
        <w:rPr>
          <w:sz w:val="20"/>
          <w:szCs w:val="20"/>
        </w:rPr>
        <w:t># # # # #  END SECTION 9 BIOSKETCHES # # # # #</w:t>
      </w:r>
    </w:p>
    <w:p w:rsidR="00CC4DBD" w:rsidRPr="00757D2A" w:rsidRDefault="00CC4DBD" w:rsidP="00303586">
      <w:pPr>
        <w:rPr>
          <w:b/>
          <w:bCs/>
        </w:rPr>
      </w:pPr>
    </w:p>
    <w:sectPr w:rsidR="00CC4DBD" w:rsidRPr="00757D2A" w:rsidSect="00C1256B">
      <w:footerReference w:type="even" r:id="rId56"/>
      <w:footerReference w:type="default" r:id="rId57"/>
      <w:pgSz w:w="12240" w:h="15840"/>
      <w:pgMar w:top="1200" w:right="1400" w:bottom="1400" w:left="14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DBD" w:rsidRDefault="00CC4DBD">
      <w:r>
        <w:separator/>
      </w:r>
    </w:p>
  </w:endnote>
  <w:endnote w:type="continuationSeparator" w:id="0">
    <w:p w:rsidR="00CC4DBD" w:rsidRDefault="00CC4D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l?r ??fc"/>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SimSun">
    <w:altName w:val="??¨¬?"/>
    <w:panose1 w:val="02010600030101010101"/>
    <w:charset w:val="86"/>
    <w:family w:val="auto"/>
    <w:pitch w:val="variable"/>
    <w:sig w:usb0="00000003" w:usb1="080E0000" w:usb2="00000010" w:usb3="00000000" w:csb0="00040001" w:csb1="00000000"/>
  </w:font>
  <w:font w:name="MS PGothic">
    <w:panose1 w:val="020B0600070205080204"/>
    <w:charset w:val="80"/>
    <w:family w:val="swiss"/>
    <w:pitch w:val="variable"/>
    <w:sig w:usb0="A00002BF" w:usb1="68C7FCFB" w:usb2="00000010"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DBD" w:rsidRDefault="00CC4DBD" w:rsidP="003307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4DBD" w:rsidRDefault="00CC4DB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DBD" w:rsidRDefault="00CC4DBD" w:rsidP="003307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rsidR="00CC4DBD" w:rsidRDefault="00CC4D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DBD" w:rsidRDefault="00CC4DBD">
      <w:r>
        <w:separator/>
      </w:r>
    </w:p>
  </w:footnote>
  <w:footnote w:type="continuationSeparator" w:id="0">
    <w:p w:rsidR="00CC4DBD" w:rsidRDefault="00CC4DBD">
      <w:r>
        <w:continuationSeparator/>
      </w:r>
    </w:p>
  </w:footnote>
  <w:footnote w:id="1">
    <w:p w:rsidR="00CC4DBD" w:rsidRDefault="00CC4DBD">
      <w:pPr>
        <w:pStyle w:val="FootnoteText"/>
        <w:jc w:val="both"/>
      </w:pPr>
      <w:r>
        <w:rPr>
          <w:rStyle w:val="FootnoteReference"/>
        </w:rPr>
        <w:footnoteRef/>
      </w:r>
      <w:r>
        <w:t xml:space="preserve"> </w:t>
      </w:r>
      <w:r>
        <w:fldChar w:fldCharType="begin">
          <w:fldData xml:space="preserve">PEVuZE5vdGU+PENpdGU+PEF1dGhvcj5CcmVzbGluPC9BdXRob3I+PFllYXI+MjAwMDwvWWVhcj48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</w:fldData>
        </w:fldChar>
      </w:r>
      <w:r>
        <w:instrText xml:space="preserve"> ADDIN EN.CITE </w:instrText>
      </w:r>
      <w:r>
        <w:fldChar w:fldCharType="begin">
          <w:fldData xml:space="preserve">PEVuZE5vdGU+PENpdGU+PEF1dGhvcj5CcmVzbGluPC9BdXRob3I+PFllYXI+MjAwMDwvWWVhcj48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</w:fldData>
        </w:fldChar>
      </w:r>
      <w:r>
        <w:instrText xml:space="preserve"> ADDIN EN.CITE.DATA </w:instrText>
      </w:r>
      <w:r>
        <w:fldChar w:fldCharType="end"/>
      </w:r>
      <w:r>
        <w:fldChar w:fldCharType="separate"/>
      </w:r>
      <w:r>
        <w:t xml:space="preserve">Karen Breslin, "Arsenic in Asia: Water at Its Worst," </w:t>
      </w:r>
      <w:r w:rsidRPr="007130C8">
        <w:rPr>
          <w:i/>
        </w:rPr>
        <w:t>Environmental Health Perspectives</w:t>
      </w:r>
      <w:r>
        <w:t xml:space="preserve"> 108, no. 5 (2000), Aadel Chaudhuri, "Dealing with Arsenic Contamination in Bangladesh," </w:t>
      </w:r>
      <w:r w:rsidRPr="007130C8">
        <w:rPr>
          <w:i/>
        </w:rPr>
        <w:t>MIT Undergraduate Research Journal</w:t>
      </w:r>
      <w:r>
        <w:t xml:space="preserve"> 10 (2004), Uttam K. Chowdhury et al., "Groundwater Arsenic Contamination in Bangladesh and West Bengal, India," </w:t>
      </w:r>
      <w:r w:rsidRPr="007130C8">
        <w:rPr>
          <w:i/>
        </w:rPr>
        <w:t>Environmental Health Perspectives</w:t>
      </w:r>
      <w:r>
        <w:t xml:space="preserve"> 108, no. 5 (2000), Md. Sadiuddin and Md. Masud Karim, "Groundwater Arsenic Contamination in Bangladesh: Causes, Effects and Remediation" (paper presented at the 1st IEB International Conference and 7th Annual Paper Meet, Chittagong, Bangladesh, November 2-3 2001), Allan H. Smith, Elena O. Lingas, and Mahfuzar Rahman, "Contamination of Drinking-Water by Arsenic in Bangladesh: A Public Health Emergency," </w:t>
      </w:r>
      <w:r w:rsidRPr="007130C8">
        <w:rPr>
          <w:i/>
        </w:rPr>
        <w:t>Bulletin of the World Health Organization</w:t>
      </w:r>
      <w:r>
        <w:t xml:space="preserve"> 78, no. 9 (2000), NGOs Arsenic Information &amp; Support Unit, "An Overview of Arsenic Issues and Mitigation Initiatives in Bangladesh,"  (2003).</w:t>
      </w:r>
      <w:r>
        <w:fldChar w:fldCharType="end"/>
      </w:r>
    </w:p>
  </w:footnote>
  <w:footnote w:id="2">
    <w:p w:rsidR="00CC4DBD" w:rsidRDefault="00CC4DBD">
      <w:pPr>
        <w:pStyle w:val="FootnoteText"/>
        <w:jc w:val="both"/>
      </w:pPr>
      <w:r w:rsidRPr="008F4643">
        <w:rPr>
          <w:rStyle w:val="FootnoteReference"/>
          <w:rFonts w:ascii="Palatino" w:hAnsi="Palatino"/>
        </w:rPr>
        <w:footnoteRef/>
      </w:r>
      <w:r>
        <w:rPr>
          <w:rFonts w:ascii="Palatino" w:hAnsi="Palatino"/>
        </w:rPr>
        <w:t xml:space="preserve"> </w:t>
      </w:r>
      <w:r w:rsidRPr="007F6CDE">
        <w:rPr>
          <w:rFonts w:ascii="Calibri" w:hAnsi="Calibri" w:cs="Calibri"/>
          <w:sz w:val="18"/>
          <w:szCs w:val="18"/>
        </w:rPr>
        <w:t>Note that the topic goes beyond “petroleum” or “hydrocarbon.”  Contamination by residues from natural biological oils (in olive processing, for example) poses related problems.</w:t>
      </w:r>
    </w:p>
  </w:footnote>
  <w:footnote w:id="3">
    <w:p w:rsidR="00CC4DBD" w:rsidRDefault="00CC4DBD">
      <w:pPr>
        <w:pStyle w:val="FootnoteText"/>
        <w:jc w:val="both"/>
      </w:pPr>
      <w:r w:rsidRPr="007F6CDE">
        <w:rPr>
          <w:rStyle w:val="FootnoteReference"/>
          <w:rFonts w:ascii="Calibri" w:hAnsi="Calibri" w:cs="Calibri"/>
          <w:sz w:val="18"/>
          <w:szCs w:val="18"/>
        </w:rPr>
        <w:footnoteRef/>
      </w:r>
      <w:r w:rsidRPr="007F6CDE">
        <w:rPr>
          <w:rFonts w:ascii="Calibri" w:hAnsi="Calibri" w:cs="Calibri"/>
          <w:sz w:val="18"/>
          <w:szCs w:val="18"/>
        </w:rPr>
        <w:t xml:space="preserve"> See, for example, the first website listed on p. 7.</w:t>
      </w:r>
    </w:p>
  </w:footnote>
  <w:footnote w:id="4">
    <w:p w:rsidR="00CC4DBD" w:rsidRDefault="00CC4DBD">
      <w:pPr>
        <w:pStyle w:val="FootnoteText"/>
        <w:jc w:val="both"/>
      </w:pPr>
      <w:r w:rsidRPr="007F6CDE">
        <w:rPr>
          <w:rStyle w:val="FootnoteReference"/>
          <w:rFonts w:ascii="Calibri" w:hAnsi="Calibri" w:cs="Calibri"/>
          <w:sz w:val="18"/>
          <w:szCs w:val="18"/>
        </w:rPr>
        <w:footnoteRef/>
      </w:r>
      <w:r w:rsidRPr="007F6CDE">
        <w:rPr>
          <w:rFonts w:ascii="Calibri" w:hAnsi="Calibri" w:cs="Calibri"/>
          <w:sz w:val="18"/>
          <w:szCs w:val="18"/>
        </w:rPr>
        <w:t xml:space="preserve"> Of the two major types of hydrocarbon, aliphatic and aromatic, both of which occur in petroleum, the aliphatic fraction is much more abundant – and more widely used by hydrocarbon-metabolizing organisms.  This fraction, consisting of alkanes (primarily), </w:t>
      </w:r>
      <w:r w:rsidRPr="007F6CDE">
        <w:rPr>
          <w:rFonts w:ascii="Calibri" w:hAnsi="Calibri" w:cs="Calibri"/>
          <w:i/>
          <w:sz w:val="18"/>
          <w:szCs w:val="18"/>
        </w:rPr>
        <w:t>cyclo</w:t>
      </w:r>
      <w:r w:rsidRPr="007F6CDE">
        <w:rPr>
          <w:rFonts w:ascii="Calibri" w:hAnsi="Calibri" w:cs="Calibri"/>
          <w:sz w:val="18"/>
          <w:szCs w:val="18"/>
        </w:rPr>
        <w:t xml:space="preserve">alkanes, alkenes and alkynes, will be emphasized in this document.  Note that the toxicity (and carcinogenicity) of </w:t>
      </w:r>
      <w:r w:rsidRPr="007F6CDE">
        <w:rPr>
          <w:rFonts w:ascii="Calibri" w:hAnsi="Calibri" w:cs="Calibri"/>
          <w:i/>
          <w:sz w:val="18"/>
          <w:szCs w:val="18"/>
        </w:rPr>
        <w:t>aromatic</w:t>
      </w:r>
      <w:r w:rsidRPr="007F6CDE">
        <w:rPr>
          <w:rFonts w:ascii="Calibri" w:hAnsi="Calibri" w:cs="Calibri"/>
          <w:sz w:val="18"/>
          <w:szCs w:val="18"/>
        </w:rPr>
        <w:t xml:space="preserve"> hydrocarbons, however, often plays a significant role in the environmental impact of oil spills.</w:t>
      </w:r>
    </w:p>
  </w:footnote>
  <w:footnote w:id="5">
    <w:p w:rsidR="00CC4DBD" w:rsidRDefault="00CC4DBD" w:rsidP="00084549">
      <w:r w:rsidRPr="007F6CDE">
        <w:rPr>
          <w:rStyle w:val="FootnoteReference"/>
          <w:rFonts w:cs="Calibri"/>
          <w:sz w:val="18"/>
          <w:szCs w:val="18"/>
        </w:rPr>
        <w:footnoteRef/>
      </w:r>
      <w:r w:rsidRPr="007F6CDE">
        <w:rPr>
          <w:rFonts w:cs="Calibri"/>
          <w:sz w:val="18"/>
          <w:szCs w:val="18"/>
        </w:rPr>
        <w:t xml:space="preserve"> A field of investigation now somewhat waggishly termed “petroleomics” in imitation of the use of the “-omics” suffix in genetics and molecular biology to signify “all of the foregoing” (as in genomics dealing with all the genes, proteom</w:t>
      </w:r>
      <w:r>
        <w:rPr>
          <w:rFonts w:cs="Calibri"/>
          <w:sz w:val="18"/>
          <w:szCs w:val="18"/>
        </w:rPr>
        <w:t>ics all of the proteins, etc.).</w:t>
      </w:r>
    </w:p>
  </w:footnote>
  <w:footnote w:id="6">
    <w:p w:rsidR="00CC4DBD" w:rsidRDefault="00CC4DBD" w:rsidP="00084549">
      <w:pPr>
        <w:pStyle w:val="FootnoteText"/>
      </w:pPr>
      <w:r w:rsidRPr="007F6CDE">
        <w:rPr>
          <w:rStyle w:val="FootnoteReference"/>
          <w:rFonts w:ascii="Calibri" w:hAnsi="Calibri" w:cs="Calibri"/>
          <w:sz w:val="18"/>
          <w:szCs w:val="18"/>
        </w:rPr>
        <w:footnoteRef/>
      </w:r>
      <w:r w:rsidRPr="007F6CDE">
        <w:rPr>
          <w:rFonts w:ascii="Calibri" w:hAnsi="Calibri" w:cs="Calibri"/>
          <w:sz w:val="18"/>
          <w:szCs w:val="18"/>
        </w:rPr>
        <w:t xml:space="preserve"> See literature bibliography on p. 8.</w:t>
      </w:r>
    </w:p>
  </w:footnote>
  <w:footnote w:id="7">
    <w:p w:rsidR="00CC4DBD" w:rsidRDefault="00CC4DBD" w:rsidP="00084549">
      <w:pPr>
        <w:pStyle w:val="FootnoteText"/>
      </w:pPr>
      <w:r w:rsidRPr="007F6CDE">
        <w:rPr>
          <w:rStyle w:val="FootnoteReference"/>
          <w:rFonts w:ascii="Calibri" w:hAnsi="Calibri" w:cs="Calibri"/>
          <w:sz w:val="18"/>
          <w:szCs w:val="18"/>
        </w:rPr>
        <w:footnoteRef/>
      </w:r>
      <w:r w:rsidRPr="007F6CDE">
        <w:rPr>
          <w:rFonts w:ascii="Calibri" w:hAnsi="Calibri" w:cs="Calibri"/>
          <w:sz w:val="18"/>
          <w:szCs w:val="18"/>
        </w:rPr>
        <w:t xml:space="preserve"> Evidently archaeal species (members of the third great domain of life in addition to bacteria and eukaryotes) do not participate in petroleum bioremediation – indeed they seem to disappear while remediation takes place, and it has been suggested that their reappearance marks completion of the process.</w:t>
      </w:r>
    </w:p>
  </w:footnote>
  <w:footnote w:id="8">
    <w:p w:rsidR="00CC4DBD" w:rsidRDefault="00CC4DBD" w:rsidP="00084549">
      <w:pPr>
        <w:pStyle w:val="FootnoteText"/>
      </w:pPr>
      <w:r w:rsidRPr="007F6CDE">
        <w:rPr>
          <w:rStyle w:val="FootnoteReference"/>
          <w:rFonts w:ascii="Calibri" w:hAnsi="Calibri" w:cs="Calibri"/>
          <w:sz w:val="18"/>
          <w:szCs w:val="18"/>
        </w:rPr>
        <w:footnoteRef/>
      </w:r>
      <w:r w:rsidRPr="007F6CDE">
        <w:rPr>
          <w:rFonts w:ascii="Calibri" w:hAnsi="Calibri" w:cs="Calibri"/>
          <w:sz w:val="18"/>
          <w:szCs w:val="18"/>
        </w:rPr>
        <w:t xml:space="preserve"> “Catabolism” refers to all the biochemical processes that break down large molecules into smaller parts that can be used either to generate useful chemical energy or to synthesize new larger molecules.  The latter process is termed “anabolism” (and it is stimulated by “anabolic steroids!”)</w:t>
      </w:r>
    </w:p>
  </w:footnote>
  <w:footnote w:id="9">
    <w:p w:rsidR="00CC4DBD" w:rsidRPr="007F6CDE" w:rsidRDefault="00CC4DBD" w:rsidP="00084549">
      <w:pPr>
        <w:pStyle w:val="FootnoteText"/>
        <w:rPr>
          <w:rFonts w:ascii="Calibri" w:hAnsi="Calibri" w:cs="Calibri"/>
          <w:sz w:val="18"/>
          <w:szCs w:val="18"/>
        </w:rPr>
      </w:pPr>
      <w:r w:rsidRPr="007F6CDE">
        <w:rPr>
          <w:rStyle w:val="FootnoteReference"/>
          <w:rFonts w:ascii="Calibri" w:hAnsi="Calibri" w:cs="Calibri"/>
          <w:sz w:val="18"/>
          <w:szCs w:val="18"/>
        </w:rPr>
        <w:footnoteRef/>
      </w:r>
      <w:r w:rsidRPr="007F6CDE">
        <w:rPr>
          <w:rFonts w:ascii="Calibri" w:hAnsi="Calibri" w:cs="Calibri"/>
          <w:sz w:val="18"/>
          <w:szCs w:val="18"/>
        </w:rPr>
        <w:t xml:space="preserve"> “Horizontal gene transfer” is the process whereby a functional gene (in the form of a piece of DNA)</w:t>
      </w:r>
    </w:p>
    <w:p w:rsidR="00CC4DBD" w:rsidRDefault="00CC4DBD" w:rsidP="00084549">
      <w:pPr>
        <w:pStyle w:val="FootnoteText"/>
      </w:pPr>
      <w:r w:rsidRPr="007F6CDE">
        <w:rPr>
          <w:rFonts w:ascii="Calibri" w:hAnsi="Calibri" w:cs="Calibri"/>
          <w:sz w:val="18"/>
          <w:szCs w:val="18"/>
        </w:rPr>
        <w:t>from one living cell gets moved into another living cell and is adopted into the second cell’s genome.  This contrasts with the more common  (“vertical”) form of gene transfer that passes genes from one generation to the next.</w:t>
      </w:r>
    </w:p>
  </w:footnote>
  <w:footnote w:id="10">
    <w:p w:rsidR="00CC4DBD" w:rsidRDefault="00CC4DBD" w:rsidP="00084549">
      <w:pPr>
        <w:pStyle w:val="FootnoteText"/>
      </w:pPr>
      <w:r w:rsidRPr="007F6CDE">
        <w:rPr>
          <w:rStyle w:val="FootnoteReference"/>
          <w:rFonts w:ascii="Calibri" w:hAnsi="Calibri" w:cs="Calibri"/>
          <w:sz w:val="18"/>
          <w:szCs w:val="18"/>
        </w:rPr>
        <w:footnoteRef/>
      </w:r>
      <w:r w:rsidRPr="007F6CDE">
        <w:rPr>
          <w:rFonts w:ascii="Calibri" w:hAnsi="Calibri" w:cs="Calibri"/>
          <w:sz w:val="18"/>
          <w:szCs w:val="18"/>
        </w:rPr>
        <w:t xml:space="preserve"> In “directed evolution” a population of organisms with relatively short life spans (such as </w:t>
      </w:r>
      <w:r w:rsidRPr="007F6CDE">
        <w:rPr>
          <w:rFonts w:ascii="Calibri" w:hAnsi="Calibri" w:cs="Calibri"/>
          <w:i/>
          <w:sz w:val="18"/>
          <w:szCs w:val="18"/>
        </w:rPr>
        <w:t>E. coli</w:t>
      </w:r>
      <w:r w:rsidRPr="007F6CDE">
        <w:rPr>
          <w:rFonts w:ascii="Calibri" w:hAnsi="Calibri" w:cs="Calibri"/>
          <w:sz w:val="18"/>
          <w:szCs w:val="18"/>
        </w:rPr>
        <w:t xml:space="preserve"> that can divide every 20 minutes under optimum conditions) is grown in a laboratory and samples taken at intervals and assayed for a particular trait (such as production of a chemical substance).  Organisms that have an above-average expression of the trait (such as making larger amounts of the chemical) are then used to start a new culture and the process is repeated.  After many cycles this (artificial selection) method can often produce a dramatic increase in the desired characteristic.</w:t>
      </w:r>
    </w:p>
  </w:footnote>
  <w:footnote w:id="11">
    <w:p w:rsidR="00CC4DBD" w:rsidRDefault="00CC4DBD" w:rsidP="00084549">
      <w:pPr>
        <w:pStyle w:val="FootnoteText"/>
      </w:pPr>
      <w:r w:rsidRPr="007F6CDE">
        <w:rPr>
          <w:rStyle w:val="FootnoteReference"/>
          <w:rFonts w:ascii="Calibri" w:hAnsi="Calibri" w:cs="Calibri"/>
          <w:sz w:val="18"/>
          <w:szCs w:val="18"/>
        </w:rPr>
        <w:footnoteRef/>
      </w:r>
      <w:r w:rsidRPr="007F6CDE">
        <w:rPr>
          <w:rFonts w:ascii="Calibri" w:hAnsi="Calibri" w:cs="Calibri"/>
          <w:sz w:val="18"/>
          <w:szCs w:val="18"/>
        </w:rPr>
        <w:t xml:space="preserve"> Which for convenience will mostly be abbreviated as “SB” in what follows.</w:t>
      </w:r>
    </w:p>
  </w:footnote>
  <w:footnote w:id="12">
    <w:p w:rsidR="00CC4DBD" w:rsidRDefault="00CC4DBD" w:rsidP="00084549">
      <w:pPr>
        <w:pStyle w:val="FootnoteText"/>
      </w:pPr>
      <w:r w:rsidRPr="007F6CDE">
        <w:rPr>
          <w:rStyle w:val="FootnoteReference"/>
          <w:rFonts w:ascii="Calibri" w:hAnsi="Calibri" w:cs="Calibri"/>
          <w:sz w:val="18"/>
          <w:szCs w:val="18"/>
        </w:rPr>
        <w:footnoteRef/>
      </w:r>
      <w:r w:rsidRPr="007F6CDE">
        <w:rPr>
          <w:rFonts w:ascii="Calibri" w:hAnsi="Calibri" w:cs="Calibri"/>
          <w:sz w:val="18"/>
          <w:szCs w:val="18"/>
        </w:rPr>
        <w:t xml:space="preserve"> However, Head </w:t>
      </w:r>
      <w:r w:rsidRPr="007F6CDE">
        <w:rPr>
          <w:rFonts w:ascii="Calibri" w:hAnsi="Calibri" w:cs="Calibri"/>
          <w:i/>
          <w:sz w:val="18"/>
          <w:szCs w:val="18"/>
        </w:rPr>
        <w:t>et al.</w:t>
      </w:r>
      <w:r w:rsidRPr="007F6CDE">
        <w:rPr>
          <w:rFonts w:ascii="Calibri" w:hAnsi="Calibri" w:cs="Calibri"/>
          <w:sz w:val="18"/>
          <w:szCs w:val="18"/>
        </w:rPr>
        <w:t xml:space="preserve"> do invoke </w:t>
      </w:r>
      <w:r w:rsidRPr="007F6CDE">
        <w:rPr>
          <w:rFonts w:ascii="Calibri" w:hAnsi="Calibri" w:cs="Calibri"/>
          <w:i/>
          <w:sz w:val="18"/>
          <w:szCs w:val="18"/>
        </w:rPr>
        <w:t>Systems</w:t>
      </w:r>
      <w:r w:rsidRPr="007F6CDE">
        <w:rPr>
          <w:rFonts w:ascii="Calibri" w:hAnsi="Calibri" w:cs="Calibri"/>
          <w:sz w:val="18"/>
          <w:szCs w:val="18"/>
        </w:rPr>
        <w:t xml:space="preserve"> Biology as an approach for redesigning bacterial consortia to use for remediation. (The difference is that consortia involve more than one bacterial species, whereas SB in its standard form deals with incorporation of many features into a single species.)</w:t>
      </w:r>
    </w:p>
  </w:footnote>
  <w:footnote w:id="13">
    <w:p w:rsidR="00CC4DBD" w:rsidRDefault="00CC4DBD">
      <w:pPr>
        <w:pStyle w:val="FootnoteText"/>
        <w:jc w:val="both"/>
      </w:pPr>
      <w:r w:rsidRPr="007F6CDE">
        <w:rPr>
          <w:rStyle w:val="FootnoteReference"/>
          <w:rFonts w:ascii="Calibri" w:hAnsi="Calibri" w:cs="Calibri"/>
          <w:sz w:val="18"/>
          <w:szCs w:val="18"/>
        </w:rPr>
        <w:footnoteRef/>
      </w:r>
      <w:r w:rsidRPr="007F6CDE">
        <w:rPr>
          <w:rFonts w:ascii="Calibri" w:hAnsi="Calibri" w:cs="Calibri"/>
          <w:sz w:val="18"/>
          <w:szCs w:val="18"/>
        </w:rPr>
        <w:t xml:space="preserve"> Thus names like </w:t>
      </w:r>
      <w:r w:rsidRPr="007F6CDE">
        <w:rPr>
          <w:rFonts w:ascii="Calibri" w:hAnsi="Calibri" w:cs="Calibri"/>
          <w:i/>
          <w:sz w:val="18"/>
          <w:szCs w:val="18"/>
        </w:rPr>
        <w:t>Alcanovorax</w:t>
      </w:r>
      <w:r w:rsidRPr="007F6CDE">
        <w:rPr>
          <w:rFonts w:ascii="Calibri" w:hAnsi="Calibri" w:cs="Calibri"/>
          <w:sz w:val="18"/>
          <w:szCs w:val="18"/>
        </w:rPr>
        <w:t xml:space="preserve"> or </w:t>
      </w:r>
      <w:r w:rsidRPr="007F6CDE">
        <w:rPr>
          <w:rFonts w:ascii="Calibri" w:hAnsi="Calibri" w:cs="Calibri"/>
          <w:i/>
          <w:sz w:val="18"/>
          <w:szCs w:val="18"/>
        </w:rPr>
        <w:t>Geobacillus</w:t>
      </w:r>
      <w:r w:rsidRPr="007F6CDE">
        <w:rPr>
          <w:rFonts w:ascii="Calibri" w:hAnsi="Calibri" w:cs="Calibri"/>
          <w:sz w:val="18"/>
          <w:szCs w:val="18"/>
        </w:rPr>
        <w:t xml:space="preserve"> do not resonate with a negative attitude the way </w:t>
      </w:r>
      <w:r w:rsidRPr="007F6CDE">
        <w:rPr>
          <w:rFonts w:ascii="Calibri" w:hAnsi="Calibri" w:cs="Calibri"/>
          <w:i/>
          <w:sz w:val="18"/>
          <w:szCs w:val="18"/>
        </w:rPr>
        <w:t>Streptococcus, Salmonella</w:t>
      </w:r>
      <w:r w:rsidRPr="007F6CDE">
        <w:rPr>
          <w:rFonts w:ascii="Calibri" w:hAnsi="Calibri" w:cs="Calibri"/>
          <w:sz w:val="18"/>
          <w:szCs w:val="18"/>
        </w:rPr>
        <w:t xml:space="preserve"> or even (heaven help us!) </w:t>
      </w:r>
      <w:r w:rsidRPr="007F6CDE">
        <w:rPr>
          <w:rFonts w:ascii="Calibri" w:hAnsi="Calibri" w:cs="Calibri"/>
          <w:i/>
          <w:sz w:val="18"/>
          <w:szCs w:val="18"/>
        </w:rPr>
        <w:t>E. coli</w:t>
      </w:r>
      <w:r w:rsidRPr="007F6CDE">
        <w:rPr>
          <w:rFonts w:ascii="Calibri" w:hAnsi="Calibri" w:cs="Calibri"/>
          <w:sz w:val="18"/>
          <w:szCs w:val="18"/>
        </w:rPr>
        <w:t xml:space="preserve"> do.</w:t>
      </w:r>
    </w:p>
  </w:footnote>
  <w:footnote w:id="14">
    <w:p w:rsidR="00CC4DBD" w:rsidRDefault="00CC4DBD">
      <w:pPr>
        <w:pStyle w:val="FootnoteText"/>
        <w:jc w:val="both"/>
      </w:pPr>
      <w:r w:rsidRPr="007F6CDE">
        <w:rPr>
          <w:rStyle w:val="FootnoteReference"/>
          <w:rFonts w:ascii="Calibri" w:hAnsi="Calibri" w:cs="Calibri"/>
          <w:sz w:val="18"/>
          <w:szCs w:val="18"/>
        </w:rPr>
        <w:footnoteRef/>
      </w:r>
      <w:r w:rsidRPr="007F6CDE">
        <w:rPr>
          <w:rFonts w:ascii="Calibri" w:hAnsi="Calibri" w:cs="Calibri"/>
          <w:sz w:val="18"/>
          <w:szCs w:val="18"/>
        </w:rPr>
        <w:t xml:space="preserve"> By the same token, these organisms probably do not have genes conferring resistance to most medically useful antibiotics that might accidentally accompany the gene transfers into the SB chassis (engineered cell).</w:t>
      </w:r>
    </w:p>
  </w:footnote>
  <w:footnote w:id="15">
    <w:p w:rsidR="00CC4DBD" w:rsidRDefault="00CC4DBD">
      <w:pPr>
        <w:pStyle w:val="FootnoteText"/>
        <w:jc w:val="both"/>
      </w:pPr>
      <w:r w:rsidRPr="007F6CDE">
        <w:rPr>
          <w:rStyle w:val="FootnoteReference"/>
          <w:rFonts w:ascii="Calibri" w:hAnsi="Calibri" w:cs="Calibri"/>
          <w:sz w:val="18"/>
          <w:szCs w:val="18"/>
        </w:rPr>
        <w:footnoteRef/>
      </w:r>
      <w:r w:rsidRPr="007F6CDE">
        <w:rPr>
          <w:rFonts w:ascii="Calibri" w:hAnsi="Calibri" w:cs="Calibri"/>
          <w:sz w:val="18"/>
          <w:szCs w:val="18"/>
        </w:rPr>
        <w:t xml:space="preserve"> The “human microbiome” consists of all the thousands of species (and trillions of cells) of Bacteria and Archaea that in share our normal (healthy!) bodies.</w:t>
      </w:r>
    </w:p>
  </w:footnote>
  <w:footnote w:id="16">
    <w:p w:rsidR="00CC4DBD" w:rsidRDefault="00CC4DBD">
      <w:pPr>
        <w:pStyle w:val="FootnoteText"/>
        <w:jc w:val="both"/>
      </w:pPr>
      <w:r w:rsidRPr="007F6CDE">
        <w:rPr>
          <w:rStyle w:val="FootnoteReference"/>
          <w:rFonts w:ascii="Calibri" w:hAnsi="Calibri" w:cs="Calibri"/>
          <w:sz w:val="18"/>
          <w:szCs w:val="18"/>
        </w:rPr>
        <w:footnoteRef/>
      </w:r>
      <w:r w:rsidRPr="007F6CDE">
        <w:rPr>
          <w:rFonts w:ascii="Calibri" w:hAnsi="Calibri" w:cs="Calibri"/>
          <w:sz w:val="18"/>
          <w:szCs w:val="18"/>
        </w:rPr>
        <w:t xml:space="preserve"> This is a speculative (but certainly not altogether unreasonable) point.  It will be a focus of much attention for all forms of genetic engineering as the complete sets of phylogentic relationships are worked out in the next few years.</w:t>
      </w:r>
    </w:p>
  </w:footnote>
  <w:footnote w:id="17">
    <w:p w:rsidR="00CC4DBD" w:rsidRDefault="00CC4DBD" w:rsidP="00084549">
      <w:pPr>
        <w:pStyle w:val="FootnoteText"/>
      </w:pPr>
      <w:r w:rsidRPr="007F6CDE">
        <w:rPr>
          <w:rStyle w:val="FootnoteReference"/>
          <w:rFonts w:ascii="Calibri" w:hAnsi="Calibri" w:cs="Calibri"/>
          <w:sz w:val="18"/>
          <w:szCs w:val="18"/>
        </w:rPr>
        <w:footnoteRef/>
      </w:r>
      <w:r w:rsidRPr="007F6CDE">
        <w:rPr>
          <w:rFonts w:ascii="Calibri" w:hAnsi="Calibri" w:cs="Calibri"/>
          <w:sz w:val="18"/>
          <w:szCs w:val="18"/>
        </w:rPr>
        <w:t xml:space="preserve"> The lipid bilayer that separates the intracellular constituents from the external environment.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848FEF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C35654D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25A0EC7C"/>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3BB602AE"/>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6D8C2D7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CC8697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D7A6CE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D60573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0DA1BD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62AD0BA"/>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multilevel"/>
    <w:tmpl w:val="0000000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03"/>
    <w:multiLevelType w:val="multilevel"/>
    <w:tmpl w:val="0000000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nsid w:val="00000005"/>
    <w:multiLevelType w:val="multilevel"/>
    <w:tmpl w:val="0000000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nsid w:val="00000006"/>
    <w:multiLevelType w:val="multilevel"/>
    <w:tmpl w:val="0000000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5">
    <w:nsid w:val="00000007"/>
    <w:multiLevelType w:val="multilevel"/>
    <w:tmpl w:val="0000000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6">
    <w:nsid w:val="00000008"/>
    <w:multiLevelType w:val="multilevel"/>
    <w:tmpl w:val="0000000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7">
    <w:nsid w:val="00000009"/>
    <w:multiLevelType w:val="multilevel"/>
    <w:tmpl w:val="00000009"/>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8">
    <w:nsid w:val="0000000A"/>
    <w:multiLevelType w:val="multilevel"/>
    <w:tmpl w:val="0000000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9">
    <w:nsid w:val="092D414A"/>
    <w:multiLevelType w:val="multilevel"/>
    <w:tmpl w:val="18CC8AF4"/>
    <w:lvl w:ilvl="0">
      <w:start w:val="12"/>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18022C84"/>
    <w:multiLevelType w:val="hybridMultilevel"/>
    <w:tmpl w:val="725E0D74"/>
    <w:lvl w:ilvl="0" w:tplc="68C84EDE">
      <w:start w:val="1"/>
      <w:numFmt w:val="bullet"/>
      <w:lvlText w:val="•"/>
      <w:lvlJc w:val="left"/>
      <w:pPr>
        <w:tabs>
          <w:tab w:val="num" w:pos="720"/>
        </w:tabs>
        <w:ind w:left="720" w:hanging="360"/>
      </w:pPr>
      <w:rPr>
        <w:rFonts w:ascii="Calibri" w:hAnsi="Calibri" w:hint="default"/>
      </w:rPr>
    </w:lvl>
    <w:lvl w:ilvl="1" w:tplc="1A28D1B0" w:tentative="1">
      <w:start w:val="1"/>
      <w:numFmt w:val="bullet"/>
      <w:lvlText w:val="•"/>
      <w:lvlJc w:val="left"/>
      <w:pPr>
        <w:tabs>
          <w:tab w:val="num" w:pos="1440"/>
        </w:tabs>
        <w:ind w:left="1440" w:hanging="360"/>
      </w:pPr>
      <w:rPr>
        <w:rFonts w:ascii="Calibri" w:hAnsi="Calibri" w:hint="default"/>
      </w:rPr>
    </w:lvl>
    <w:lvl w:ilvl="2" w:tplc="04DCE3C8" w:tentative="1">
      <w:start w:val="1"/>
      <w:numFmt w:val="bullet"/>
      <w:lvlText w:val="•"/>
      <w:lvlJc w:val="left"/>
      <w:pPr>
        <w:tabs>
          <w:tab w:val="num" w:pos="2160"/>
        </w:tabs>
        <w:ind w:left="2160" w:hanging="360"/>
      </w:pPr>
      <w:rPr>
        <w:rFonts w:ascii="Calibri" w:hAnsi="Calibri" w:hint="default"/>
      </w:rPr>
    </w:lvl>
    <w:lvl w:ilvl="3" w:tplc="1A52FE66" w:tentative="1">
      <w:start w:val="1"/>
      <w:numFmt w:val="bullet"/>
      <w:lvlText w:val="•"/>
      <w:lvlJc w:val="left"/>
      <w:pPr>
        <w:tabs>
          <w:tab w:val="num" w:pos="2880"/>
        </w:tabs>
        <w:ind w:left="2880" w:hanging="360"/>
      </w:pPr>
      <w:rPr>
        <w:rFonts w:ascii="Calibri" w:hAnsi="Calibri" w:hint="default"/>
      </w:rPr>
    </w:lvl>
    <w:lvl w:ilvl="4" w:tplc="3DB0FEEE" w:tentative="1">
      <w:start w:val="1"/>
      <w:numFmt w:val="bullet"/>
      <w:lvlText w:val="•"/>
      <w:lvlJc w:val="left"/>
      <w:pPr>
        <w:tabs>
          <w:tab w:val="num" w:pos="3600"/>
        </w:tabs>
        <w:ind w:left="3600" w:hanging="360"/>
      </w:pPr>
      <w:rPr>
        <w:rFonts w:ascii="Calibri" w:hAnsi="Calibri" w:hint="default"/>
      </w:rPr>
    </w:lvl>
    <w:lvl w:ilvl="5" w:tplc="9190C55C" w:tentative="1">
      <w:start w:val="1"/>
      <w:numFmt w:val="bullet"/>
      <w:lvlText w:val="•"/>
      <w:lvlJc w:val="left"/>
      <w:pPr>
        <w:tabs>
          <w:tab w:val="num" w:pos="4320"/>
        </w:tabs>
        <w:ind w:left="4320" w:hanging="360"/>
      </w:pPr>
      <w:rPr>
        <w:rFonts w:ascii="Calibri" w:hAnsi="Calibri" w:hint="default"/>
      </w:rPr>
    </w:lvl>
    <w:lvl w:ilvl="6" w:tplc="F0A6C872" w:tentative="1">
      <w:start w:val="1"/>
      <w:numFmt w:val="bullet"/>
      <w:lvlText w:val="•"/>
      <w:lvlJc w:val="left"/>
      <w:pPr>
        <w:tabs>
          <w:tab w:val="num" w:pos="5040"/>
        </w:tabs>
        <w:ind w:left="5040" w:hanging="360"/>
      </w:pPr>
      <w:rPr>
        <w:rFonts w:ascii="Calibri" w:hAnsi="Calibri" w:hint="default"/>
      </w:rPr>
    </w:lvl>
    <w:lvl w:ilvl="7" w:tplc="4CFA7B72" w:tentative="1">
      <w:start w:val="1"/>
      <w:numFmt w:val="bullet"/>
      <w:lvlText w:val="•"/>
      <w:lvlJc w:val="left"/>
      <w:pPr>
        <w:tabs>
          <w:tab w:val="num" w:pos="5760"/>
        </w:tabs>
        <w:ind w:left="5760" w:hanging="360"/>
      </w:pPr>
      <w:rPr>
        <w:rFonts w:ascii="Calibri" w:hAnsi="Calibri" w:hint="default"/>
      </w:rPr>
    </w:lvl>
    <w:lvl w:ilvl="8" w:tplc="3C060ED4" w:tentative="1">
      <w:start w:val="1"/>
      <w:numFmt w:val="bullet"/>
      <w:lvlText w:val="•"/>
      <w:lvlJc w:val="left"/>
      <w:pPr>
        <w:tabs>
          <w:tab w:val="num" w:pos="6480"/>
        </w:tabs>
        <w:ind w:left="6480" w:hanging="360"/>
      </w:pPr>
      <w:rPr>
        <w:rFonts w:ascii="Calibri" w:hAnsi="Calibri" w:hint="default"/>
      </w:rPr>
    </w:lvl>
  </w:abstractNum>
  <w:abstractNum w:abstractNumId="21">
    <w:nsid w:val="194F26F0"/>
    <w:multiLevelType w:val="hybridMultilevel"/>
    <w:tmpl w:val="58D8D5E4"/>
    <w:lvl w:ilvl="0" w:tplc="2146F338">
      <w:start w:val="1"/>
      <w:numFmt w:val="decimal"/>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1D7429D2"/>
    <w:multiLevelType w:val="hybridMultilevel"/>
    <w:tmpl w:val="01149D1C"/>
    <w:lvl w:ilvl="0" w:tplc="04090001">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5E03798"/>
    <w:multiLevelType w:val="hybridMultilevel"/>
    <w:tmpl w:val="E1B2E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D8A556E"/>
    <w:multiLevelType w:val="hybridMultilevel"/>
    <w:tmpl w:val="89C609C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33353F58"/>
    <w:multiLevelType w:val="hybridMultilevel"/>
    <w:tmpl w:val="A02091BA"/>
    <w:lvl w:ilvl="0" w:tplc="0930B8A2">
      <w:start w:val="1"/>
      <w:numFmt w:val="bullet"/>
      <w:lvlText w:val="•"/>
      <w:lvlJc w:val="left"/>
      <w:pPr>
        <w:tabs>
          <w:tab w:val="num" w:pos="720"/>
        </w:tabs>
        <w:ind w:left="720" w:hanging="360"/>
      </w:pPr>
      <w:rPr>
        <w:rFonts w:ascii="Calibri" w:hAnsi="Calibri" w:hint="default"/>
      </w:rPr>
    </w:lvl>
    <w:lvl w:ilvl="1" w:tplc="ABCA12D2" w:tentative="1">
      <w:start w:val="1"/>
      <w:numFmt w:val="bullet"/>
      <w:lvlText w:val="•"/>
      <w:lvlJc w:val="left"/>
      <w:pPr>
        <w:tabs>
          <w:tab w:val="num" w:pos="1440"/>
        </w:tabs>
        <w:ind w:left="1440" w:hanging="360"/>
      </w:pPr>
      <w:rPr>
        <w:rFonts w:ascii="Calibri" w:hAnsi="Calibri" w:hint="default"/>
      </w:rPr>
    </w:lvl>
    <w:lvl w:ilvl="2" w:tplc="790C4FE0" w:tentative="1">
      <w:start w:val="1"/>
      <w:numFmt w:val="bullet"/>
      <w:lvlText w:val="•"/>
      <w:lvlJc w:val="left"/>
      <w:pPr>
        <w:tabs>
          <w:tab w:val="num" w:pos="2160"/>
        </w:tabs>
        <w:ind w:left="2160" w:hanging="360"/>
      </w:pPr>
      <w:rPr>
        <w:rFonts w:ascii="Calibri" w:hAnsi="Calibri" w:hint="default"/>
      </w:rPr>
    </w:lvl>
    <w:lvl w:ilvl="3" w:tplc="9A0E92C4" w:tentative="1">
      <w:start w:val="1"/>
      <w:numFmt w:val="bullet"/>
      <w:lvlText w:val="•"/>
      <w:lvlJc w:val="left"/>
      <w:pPr>
        <w:tabs>
          <w:tab w:val="num" w:pos="2880"/>
        </w:tabs>
        <w:ind w:left="2880" w:hanging="360"/>
      </w:pPr>
      <w:rPr>
        <w:rFonts w:ascii="Calibri" w:hAnsi="Calibri" w:hint="default"/>
      </w:rPr>
    </w:lvl>
    <w:lvl w:ilvl="4" w:tplc="F9CA7586" w:tentative="1">
      <w:start w:val="1"/>
      <w:numFmt w:val="bullet"/>
      <w:lvlText w:val="•"/>
      <w:lvlJc w:val="left"/>
      <w:pPr>
        <w:tabs>
          <w:tab w:val="num" w:pos="3600"/>
        </w:tabs>
        <w:ind w:left="3600" w:hanging="360"/>
      </w:pPr>
      <w:rPr>
        <w:rFonts w:ascii="Calibri" w:hAnsi="Calibri" w:hint="default"/>
      </w:rPr>
    </w:lvl>
    <w:lvl w:ilvl="5" w:tplc="06A6495E" w:tentative="1">
      <w:start w:val="1"/>
      <w:numFmt w:val="bullet"/>
      <w:lvlText w:val="•"/>
      <w:lvlJc w:val="left"/>
      <w:pPr>
        <w:tabs>
          <w:tab w:val="num" w:pos="4320"/>
        </w:tabs>
        <w:ind w:left="4320" w:hanging="360"/>
      </w:pPr>
      <w:rPr>
        <w:rFonts w:ascii="Calibri" w:hAnsi="Calibri" w:hint="default"/>
      </w:rPr>
    </w:lvl>
    <w:lvl w:ilvl="6" w:tplc="EE200436" w:tentative="1">
      <w:start w:val="1"/>
      <w:numFmt w:val="bullet"/>
      <w:lvlText w:val="•"/>
      <w:lvlJc w:val="left"/>
      <w:pPr>
        <w:tabs>
          <w:tab w:val="num" w:pos="5040"/>
        </w:tabs>
        <w:ind w:left="5040" w:hanging="360"/>
      </w:pPr>
      <w:rPr>
        <w:rFonts w:ascii="Calibri" w:hAnsi="Calibri" w:hint="default"/>
      </w:rPr>
    </w:lvl>
    <w:lvl w:ilvl="7" w:tplc="D5F252B6" w:tentative="1">
      <w:start w:val="1"/>
      <w:numFmt w:val="bullet"/>
      <w:lvlText w:val="•"/>
      <w:lvlJc w:val="left"/>
      <w:pPr>
        <w:tabs>
          <w:tab w:val="num" w:pos="5760"/>
        </w:tabs>
        <w:ind w:left="5760" w:hanging="360"/>
      </w:pPr>
      <w:rPr>
        <w:rFonts w:ascii="Calibri" w:hAnsi="Calibri" w:hint="default"/>
      </w:rPr>
    </w:lvl>
    <w:lvl w:ilvl="8" w:tplc="982C66C2" w:tentative="1">
      <w:start w:val="1"/>
      <w:numFmt w:val="bullet"/>
      <w:lvlText w:val="•"/>
      <w:lvlJc w:val="left"/>
      <w:pPr>
        <w:tabs>
          <w:tab w:val="num" w:pos="6480"/>
        </w:tabs>
        <w:ind w:left="6480" w:hanging="360"/>
      </w:pPr>
      <w:rPr>
        <w:rFonts w:ascii="Calibri" w:hAnsi="Calibri" w:hint="default"/>
      </w:rPr>
    </w:lvl>
  </w:abstractNum>
  <w:abstractNum w:abstractNumId="26">
    <w:nsid w:val="341C5C7F"/>
    <w:multiLevelType w:val="hybridMultilevel"/>
    <w:tmpl w:val="B3AEA35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36A17FA0"/>
    <w:multiLevelType w:val="hybridMultilevel"/>
    <w:tmpl w:val="DD161E84"/>
    <w:lvl w:ilvl="0" w:tplc="2402E344">
      <w:start w:val="1"/>
      <w:numFmt w:val="bullet"/>
      <w:lvlText w:val="•"/>
      <w:lvlJc w:val="left"/>
      <w:pPr>
        <w:tabs>
          <w:tab w:val="num" w:pos="720"/>
        </w:tabs>
        <w:ind w:left="720" w:hanging="360"/>
      </w:pPr>
      <w:rPr>
        <w:rFonts w:ascii="Calibri" w:hAnsi="Calibri" w:hint="default"/>
      </w:rPr>
    </w:lvl>
    <w:lvl w:ilvl="1" w:tplc="48DEFE20" w:tentative="1">
      <w:start w:val="1"/>
      <w:numFmt w:val="bullet"/>
      <w:lvlText w:val="•"/>
      <w:lvlJc w:val="left"/>
      <w:pPr>
        <w:tabs>
          <w:tab w:val="num" w:pos="1440"/>
        </w:tabs>
        <w:ind w:left="1440" w:hanging="360"/>
      </w:pPr>
      <w:rPr>
        <w:rFonts w:ascii="Calibri" w:hAnsi="Calibri" w:hint="default"/>
      </w:rPr>
    </w:lvl>
    <w:lvl w:ilvl="2" w:tplc="CF569E80" w:tentative="1">
      <w:start w:val="1"/>
      <w:numFmt w:val="bullet"/>
      <w:lvlText w:val="•"/>
      <w:lvlJc w:val="left"/>
      <w:pPr>
        <w:tabs>
          <w:tab w:val="num" w:pos="2160"/>
        </w:tabs>
        <w:ind w:left="2160" w:hanging="360"/>
      </w:pPr>
      <w:rPr>
        <w:rFonts w:ascii="Calibri" w:hAnsi="Calibri" w:hint="default"/>
      </w:rPr>
    </w:lvl>
    <w:lvl w:ilvl="3" w:tplc="2F54F51C" w:tentative="1">
      <w:start w:val="1"/>
      <w:numFmt w:val="bullet"/>
      <w:lvlText w:val="•"/>
      <w:lvlJc w:val="left"/>
      <w:pPr>
        <w:tabs>
          <w:tab w:val="num" w:pos="2880"/>
        </w:tabs>
        <w:ind w:left="2880" w:hanging="360"/>
      </w:pPr>
      <w:rPr>
        <w:rFonts w:ascii="Calibri" w:hAnsi="Calibri" w:hint="default"/>
      </w:rPr>
    </w:lvl>
    <w:lvl w:ilvl="4" w:tplc="B5BC6AB8" w:tentative="1">
      <w:start w:val="1"/>
      <w:numFmt w:val="bullet"/>
      <w:lvlText w:val="•"/>
      <w:lvlJc w:val="left"/>
      <w:pPr>
        <w:tabs>
          <w:tab w:val="num" w:pos="3600"/>
        </w:tabs>
        <w:ind w:left="3600" w:hanging="360"/>
      </w:pPr>
      <w:rPr>
        <w:rFonts w:ascii="Calibri" w:hAnsi="Calibri" w:hint="default"/>
      </w:rPr>
    </w:lvl>
    <w:lvl w:ilvl="5" w:tplc="7676116C" w:tentative="1">
      <w:start w:val="1"/>
      <w:numFmt w:val="bullet"/>
      <w:lvlText w:val="•"/>
      <w:lvlJc w:val="left"/>
      <w:pPr>
        <w:tabs>
          <w:tab w:val="num" w:pos="4320"/>
        </w:tabs>
        <w:ind w:left="4320" w:hanging="360"/>
      </w:pPr>
      <w:rPr>
        <w:rFonts w:ascii="Calibri" w:hAnsi="Calibri" w:hint="default"/>
      </w:rPr>
    </w:lvl>
    <w:lvl w:ilvl="6" w:tplc="C66CD948" w:tentative="1">
      <w:start w:val="1"/>
      <w:numFmt w:val="bullet"/>
      <w:lvlText w:val="•"/>
      <w:lvlJc w:val="left"/>
      <w:pPr>
        <w:tabs>
          <w:tab w:val="num" w:pos="5040"/>
        </w:tabs>
        <w:ind w:left="5040" w:hanging="360"/>
      </w:pPr>
      <w:rPr>
        <w:rFonts w:ascii="Calibri" w:hAnsi="Calibri" w:hint="default"/>
      </w:rPr>
    </w:lvl>
    <w:lvl w:ilvl="7" w:tplc="5C92C696" w:tentative="1">
      <w:start w:val="1"/>
      <w:numFmt w:val="bullet"/>
      <w:lvlText w:val="•"/>
      <w:lvlJc w:val="left"/>
      <w:pPr>
        <w:tabs>
          <w:tab w:val="num" w:pos="5760"/>
        </w:tabs>
        <w:ind w:left="5760" w:hanging="360"/>
      </w:pPr>
      <w:rPr>
        <w:rFonts w:ascii="Calibri" w:hAnsi="Calibri" w:hint="default"/>
      </w:rPr>
    </w:lvl>
    <w:lvl w:ilvl="8" w:tplc="E9F28A6E" w:tentative="1">
      <w:start w:val="1"/>
      <w:numFmt w:val="bullet"/>
      <w:lvlText w:val="•"/>
      <w:lvlJc w:val="left"/>
      <w:pPr>
        <w:tabs>
          <w:tab w:val="num" w:pos="6480"/>
        </w:tabs>
        <w:ind w:left="6480" w:hanging="360"/>
      </w:pPr>
      <w:rPr>
        <w:rFonts w:ascii="Calibri" w:hAnsi="Calibri" w:hint="default"/>
      </w:rPr>
    </w:lvl>
  </w:abstractNum>
  <w:abstractNum w:abstractNumId="28">
    <w:nsid w:val="376D085A"/>
    <w:multiLevelType w:val="hybridMultilevel"/>
    <w:tmpl w:val="CA7EB6B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3E8E010C"/>
    <w:multiLevelType w:val="hybridMultilevel"/>
    <w:tmpl w:val="61D6D782"/>
    <w:lvl w:ilvl="0" w:tplc="1F045EFC">
      <w:start w:val="1"/>
      <w:numFmt w:val="decimal"/>
      <w:lvlText w:val="(%1)"/>
      <w:lvlJc w:val="left"/>
      <w:pPr>
        <w:ind w:left="720" w:hanging="360"/>
      </w:pPr>
      <w:rPr>
        <w:rFonts w:ascii="Calibri" w:eastAsia="Times New Roman" w:hAnsi="Calibri" w:cs="Times New Roman"/>
        <w:b w:val="0"/>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79703F"/>
    <w:multiLevelType w:val="hybridMultilevel"/>
    <w:tmpl w:val="4E38281E"/>
    <w:lvl w:ilvl="0" w:tplc="04090001">
      <w:start w:val="3"/>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5952427"/>
    <w:multiLevelType w:val="hybridMultilevel"/>
    <w:tmpl w:val="A2D69796"/>
    <w:lvl w:ilvl="0" w:tplc="88D496E6">
      <w:start w:val="3"/>
      <w:numFmt w:val="decimal"/>
      <w:lvlText w:val="%1."/>
      <w:lvlJc w:val="left"/>
      <w:pPr>
        <w:tabs>
          <w:tab w:val="num" w:pos="720"/>
        </w:tabs>
        <w:ind w:left="720" w:hanging="480"/>
      </w:pPr>
      <w:rPr>
        <w:rFonts w:cs="Times New Roman" w:hint="default"/>
      </w:rPr>
    </w:lvl>
    <w:lvl w:ilvl="1" w:tplc="04090019" w:tentative="1">
      <w:start w:val="1"/>
      <w:numFmt w:val="lowerLetter"/>
      <w:lvlText w:val="%2."/>
      <w:lvlJc w:val="left"/>
      <w:pPr>
        <w:tabs>
          <w:tab w:val="num" w:pos="1320"/>
        </w:tabs>
        <w:ind w:left="1320" w:hanging="360"/>
      </w:pPr>
      <w:rPr>
        <w:rFonts w:cs="Times New Roman"/>
      </w:rPr>
    </w:lvl>
    <w:lvl w:ilvl="2" w:tplc="0409001B" w:tentative="1">
      <w:start w:val="1"/>
      <w:numFmt w:val="lowerRoman"/>
      <w:lvlText w:val="%3."/>
      <w:lvlJc w:val="right"/>
      <w:pPr>
        <w:tabs>
          <w:tab w:val="num" w:pos="2040"/>
        </w:tabs>
        <w:ind w:left="2040" w:hanging="180"/>
      </w:pPr>
      <w:rPr>
        <w:rFonts w:cs="Times New Roman"/>
      </w:rPr>
    </w:lvl>
    <w:lvl w:ilvl="3" w:tplc="0409000F" w:tentative="1">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32">
    <w:nsid w:val="49FC15CB"/>
    <w:multiLevelType w:val="hybridMultilevel"/>
    <w:tmpl w:val="427AC390"/>
    <w:lvl w:ilvl="0" w:tplc="9A0A1B8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4DB85064"/>
    <w:multiLevelType w:val="multilevel"/>
    <w:tmpl w:val="A6127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EA0F0C"/>
    <w:multiLevelType w:val="hybridMultilevel"/>
    <w:tmpl w:val="0BC28742"/>
    <w:lvl w:ilvl="0" w:tplc="57E8BDC0">
      <w:start w:val="17"/>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402FF2"/>
    <w:multiLevelType w:val="hybridMultilevel"/>
    <w:tmpl w:val="06B469D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7E362A95"/>
    <w:multiLevelType w:val="hybridMultilevel"/>
    <w:tmpl w:val="84E6DCCE"/>
    <w:lvl w:ilvl="0" w:tplc="53F2E11C">
      <w:start w:val="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4"/>
  </w:num>
  <w:num w:numId="3">
    <w:abstractNumId w:val="21"/>
  </w:num>
  <w:num w:numId="4">
    <w:abstractNumId w:val="20"/>
  </w:num>
  <w:num w:numId="5">
    <w:abstractNumId w:val="27"/>
  </w:num>
  <w:num w:numId="6">
    <w:abstractNumId w:val="25"/>
  </w:num>
  <w:num w:numId="7">
    <w:abstractNumId w:val="35"/>
  </w:num>
  <w:num w:numId="8">
    <w:abstractNumId w:val="31"/>
  </w:num>
  <w:num w:numId="9">
    <w:abstractNumId w:val="30"/>
  </w:num>
  <w:num w:numId="10">
    <w:abstractNumId w:val="19"/>
  </w:num>
  <w:num w:numId="11">
    <w:abstractNumId w:val="23"/>
  </w:num>
  <w:num w:numId="12">
    <w:abstractNumId w:val="22"/>
  </w:num>
  <w:num w:numId="13">
    <w:abstractNumId w:val="28"/>
  </w:num>
  <w:num w:numId="14">
    <w:abstractNumId w:val="26"/>
  </w:num>
  <w:num w:numId="15">
    <w:abstractNumId w:val="10"/>
  </w:num>
  <w:num w:numId="16">
    <w:abstractNumId w:val="11"/>
  </w:num>
  <w:num w:numId="17">
    <w:abstractNumId w:val="12"/>
  </w:num>
  <w:num w:numId="18">
    <w:abstractNumId w:val="13"/>
  </w:num>
  <w:num w:numId="19">
    <w:abstractNumId w:val="14"/>
  </w:num>
  <w:num w:numId="20">
    <w:abstractNumId w:val="15"/>
  </w:num>
  <w:num w:numId="21">
    <w:abstractNumId w:val="16"/>
  </w:num>
  <w:num w:numId="22">
    <w:abstractNumId w:val="17"/>
  </w:num>
  <w:num w:numId="23">
    <w:abstractNumId w:val="18"/>
  </w:num>
  <w:num w:numId="24">
    <w:abstractNumId w:val="29"/>
  </w:num>
  <w:num w:numId="25">
    <w:abstractNumId w:val="34"/>
  </w:num>
  <w:num w:numId="26">
    <w:abstractNumId w:val="32"/>
  </w:num>
  <w:num w:numId="27">
    <w:abstractNumId w:val="33"/>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trackRevision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90D71"/>
    <w:rsid w:val="00003740"/>
    <w:rsid w:val="00003E57"/>
    <w:rsid w:val="00010FE6"/>
    <w:rsid w:val="00013867"/>
    <w:rsid w:val="000233B6"/>
    <w:rsid w:val="00027386"/>
    <w:rsid w:val="00034416"/>
    <w:rsid w:val="000401C0"/>
    <w:rsid w:val="00043864"/>
    <w:rsid w:val="0004519E"/>
    <w:rsid w:val="0005260A"/>
    <w:rsid w:val="0005349E"/>
    <w:rsid w:val="00062AA1"/>
    <w:rsid w:val="00084549"/>
    <w:rsid w:val="00084593"/>
    <w:rsid w:val="000848E8"/>
    <w:rsid w:val="000921F7"/>
    <w:rsid w:val="0009435B"/>
    <w:rsid w:val="000A15D0"/>
    <w:rsid w:val="000A76F7"/>
    <w:rsid w:val="000B1A67"/>
    <w:rsid w:val="000F7B2B"/>
    <w:rsid w:val="001000AC"/>
    <w:rsid w:val="00125B1D"/>
    <w:rsid w:val="00135651"/>
    <w:rsid w:val="001505B4"/>
    <w:rsid w:val="00150C7D"/>
    <w:rsid w:val="00156897"/>
    <w:rsid w:val="0019067A"/>
    <w:rsid w:val="0019253A"/>
    <w:rsid w:val="00194ECE"/>
    <w:rsid w:val="001971A3"/>
    <w:rsid w:val="001B2042"/>
    <w:rsid w:val="001C1287"/>
    <w:rsid w:val="001C3DFD"/>
    <w:rsid w:val="002009CF"/>
    <w:rsid w:val="00202FE5"/>
    <w:rsid w:val="00214D4E"/>
    <w:rsid w:val="00222F53"/>
    <w:rsid w:val="00256491"/>
    <w:rsid w:val="002639A4"/>
    <w:rsid w:val="00276D44"/>
    <w:rsid w:val="0028788E"/>
    <w:rsid w:val="002B62F9"/>
    <w:rsid w:val="002C0F18"/>
    <w:rsid w:val="002C44B8"/>
    <w:rsid w:val="002C5D4C"/>
    <w:rsid w:val="002C79DC"/>
    <w:rsid w:val="002D18AC"/>
    <w:rsid w:val="002E5A99"/>
    <w:rsid w:val="003007C8"/>
    <w:rsid w:val="00303586"/>
    <w:rsid w:val="00307A69"/>
    <w:rsid w:val="003248D9"/>
    <w:rsid w:val="00330761"/>
    <w:rsid w:val="0033542A"/>
    <w:rsid w:val="0033606B"/>
    <w:rsid w:val="00336180"/>
    <w:rsid w:val="00340D4B"/>
    <w:rsid w:val="00347B56"/>
    <w:rsid w:val="003554E7"/>
    <w:rsid w:val="0036273D"/>
    <w:rsid w:val="00370A88"/>
    <w:rsid w:val="00371E6C"/>
    <w:rsid w:val="00373C2A"/>
    <w:rsid w:val="0037599F"/>
    <w:rsid w:val="003851A2"/>
    <w:rsid w:val="00396E9C"/>
    <w:rsid w:val="003A5F40"/>
    <w:rsid w:val="003A6017"/>
    <w:rsid w:val="003B331C"/>
    <w:rsid w:val="003B785E"/>
    <w:rsid w:val="003C5044"/>
    <w:rsid w:val="003E441D"/>
    <w:rsid w:val="003F477F"/>
    <w:rsid w:val="003F6121"/>
    <w:rsid w:val="003F624B"/>
    <w:rsid w:val="00402DF0"/>
    <w:rsid w:val="00406578"/>
    <w:rsid w:val="00411314"/>
    <w:rsid w:val="004333C4"/>
    <w:rsid w:val="00463C2F"/>
    <w:rsid w:val="0046563F"/>
    <w:rsid w:val="00465CEF"/>
    <w:rsid w:val="00467044"/>
    <w:rsid w:val="00480873"/>
    <w:rsid w:val="00491A60"/>
    <w:rsid w:val="004A3DF4"/>
    <w:rsid w:val="004A6BD3"/>
    <w:rsid w:val="004D24E4"/>
    <w:rsid w:val="004D26D1"/>
    <w:rsid w:val="004D53F9"/>
    <w:rsid w:val="004F5564"/>
    <w:rsid w:val="00500CBF"/>
    <w:rsid w:val="00503E88"/>
    <w:rsid w:val="005143E9"/>
    <w:rsid w:val="005309F5"/>
    <w:rsid w:val="00532599"/>
    <w:rsid w:val="00534C14"/>
    <w:rsid w:val="005361EB"/>
    <w:rsid w:val="005515F0"/>
    <w:rsid w:val="005636D4"/>
    <w:rsid w:val="00564EBE"/>
    <w:rsid w:val="00565B6D"/>
    <w:rsid w:val="005820AC"/>
    <w:rsid w:val="005964CE"/>
    <w:rsid w:val="005A2D13"/>
    <w:rsid w:val="005B6B5B"/>
    <w:rsid w:val="005C4EDB"/>
    <w:rsid w:val="005D20AF"/>
    <w:rsid w:val="005D2651"/>
    <w:rsid w:val="005E01B9"/>
    <w:rsid w:val="005E05AA"/>
    <w:rsid w:val="005E36F2"/>
    <w:rsid w:val="005E650C"/>
    <w:rsid w:val="006160CB"/>
    <w:rsid w:val="00617CA2"/>
    <w:rsid w:val="00620149"/>
    <w:rsid w:val="00623CF4"/>
    <w:rsid w:val="0063328F"/>
    <w:rsid w:val="00634DB0"/>
    <w:rsid w:val="00634FAE"/>
    <w:rsid w:val="00640BFE"/>
    <w:rsid w:val="006415E6"/>
    <w:rsid w:val="006535D7"/>
    <w:rsid w:val="00664FDB"/>
    <w:rsid w:val="00695221"/>
    <w:rsid w:val="00695537"/>
    <w:rsid w:val="006B359C"/>
    <w:rsid w:val="006C74F9"/>
    <w:rsid w:val="006D7E4B"/>
    <w:rsid w:val="006E0226"/>
    <w:rsid w:val="006F7905"/>
    <w:rsid w:val="00700026"/>
    <w:rsid w:val="00706601"/>
    <w:rsid w:val="00710AF2"/>
    <w:rsid w:val="007130C8"/>
    <w:rsid w:val="00717754"/>
    <w:rsid w:val="00727925"/>
    <w:rsid w:val="00730E80"/>
    <w:rsid w:val="00734A02"/>
    <w:rsid w:val="00734CB5"/>
    <w:rsid w:val="007575BE"/>
    <w:rsid w:val="00757D2A"/>
    <w:rsid w:val="007606B7"/>
    <w:rsid w:val="00766A10"/>
    <w:rsid w:val="00772D99"/>
    <w:rsid w:val="007760BC"/>
    <w:rsid w:val="00777F22"/>
    <w:rsid w:val="00786EB3"/>
    <w:rsid w:val="00792118"/>
    <w:rsid w:val="007B448F"/>
    <w:rsid w:val="007B48FD"/>
    <w:rsid w:val="007C4756"/>
    <w:rsid w:val="007D4804"/>
    <w:rsid w:val="007F5AD5"/>
    <w:rsid w:val="007F6CDE"/>
    <w:rsid w:val="00801F31"/>
    <w:rsid w:val="00801FEF"/>
    <w:rsid w:val="00872BE5"/>
    <w:rsid w:val="00882C98"/>
    <w:rsid w:val="008A47DB"/>
    <w:rsid w:val="008C3FF5"/>
    <w:rsid w:val="008C7364"/>
    <w:rsid w:val="008D5185"/>
    <w:rsid w:val="008F4643"/>
    <w:rsid w:val="00907118"/>
    <w:rsid w:val="009077BD"/>
    <w:rsid w:val="00910994"/>
    <w:rsid w:val="00914FD3"/>
    <w:rsid w:val="00915E98"/>
    <w:rsid w:val="00935AC5"/>
    <w:rsid w:val="00937B60"/>
    <w:rsid w:val="00945814"/>
    <w:rsid w:val="00965394"/>
    <w:rsid w:val="0099353D"/>
    <w:rsid w:val="009A5744"/>
    <w:rsid w:val="009E3E39"/>
    <w:rsid w:val="009F4C46"/>
    <w:rsid w:val="00A0537E"/>
    <w:rsid w:val="00A10D69"/>
    <w:rsid w:val="00A125EA"/>
    <w:rsid w:val="00A21C23"/>
    <w:rsid w:val="00A3199A"/>
    <w:rsid w:val="00A31C32"/>
    <w:rsid w:val="00A60AA8"/>
    <w:rsid w:val="00A679A8"/>
    <w:rsid w:val="00AA2087"/>
    <w:rsid w:val="00AC676D"/>
    <w:rsid w:val="00AD5DB9"/>
    <w:rsid w:val="00B00B1A"/>
    <w:rsid w:val="00B1577B"/>
    <w:rsid w:val="00B20FC7"/>
    <w:rsid w:val="00B2319B"/>
    <w:rsid w:val="00B32B65"/>
    <w:rsid w:val="00B42CEF"/>
    <w:rsid w:val="00B559AE"/>
    <w:rsid w:val="00B64A0D"/>
    <w:rsid w:val="00B76C6C"/>
    <w:rsid w:val="00B822B9"/>
    <w:rsid w:val="00B85E72"/>
    <w:rsid w:val="00BA29CB"/>
    <w:rsid w:val="00BB7015"/>
    <w:rsid w:val="00BD68C0"/>
    <w:rsid w:val="00BD6928"/>
    <w:rsid w:val="00BE2C8E"/>
    <w:rsid w:val="00BE655E"/>
    <w:rsid w:val="00C04D1E"/>
    <w:rsid w:val="00C1256B"/>
    <w:rsid w:val="00C17868"/>
    <w:rsid w:val="00C17ED6"/>
    <w:rsid w:val="00C20AD5"/>
    <w:rsid w:val="00C302F9"/>
    <w:rsid w:val="00C35B27"/>
    <w:rsid w:val="00C369E4"/>
    <w:rsid w:val="00C640F8"/>
    <w:rsid w:val="00C6589A"/>
    <w:rsid w:val="00C82D19"/>
    <w:rsid w:val="00C871B6"/>
    <w:rsid w:val="00C914C6"/>
    <w:rsid w:val="00C91E43"/>
    <w:rsid w:val="00C95951"/>
    <w:rsid w:val="00C96225"/>
    <w:rsid w:val="00C97C96"/>
    <w:rsid w:val="00CB54C9"/>
    <w:rsid w:val="00CB79BE"/>
    <w:rsid w:val="00CC29C2"/>
    <w:rsid w:val="00CC4DBD"/>
    <w:rsid w:val="00CC523B"/>
    <w:rsid w:val="00CD418F"/>
    <w:rsid w:val="00D07B5F"/>
    <w:rsid w:val="00D07D9B"/>
    <w:rsid w:val="00D106CA"/>
    <w:rsid w:val="00D40627"/>
    <w:rsid w:val="00D571E6"/>
    <w:rsid w:val="00D60998"/>
    <w:rsid w:val="00D749DB"/>
    <w:rsid w:val="00D86C60"/>
    <w:rsid w:val="00D90D71"/>
    <w:rsid w:val="00D9640F"/>
    <w:rsid w:val="00D96997"/>
    <w:rsid w:val="00DA13CD"/>
    <w:rsid w:val="00DA4C3A"/>
    <w:rsid w:val="00DA746E"/>
    <w:rsid w:val="00DA7E4A"/>
    <w:rsid w:val="00DC32F1"/>
    <w:rsid w:val="00DD7162"/>
    <w:rsid w:val="00DE58A0"/>
    <w:rsid w:val="00DE7E6E"/>
    <w:rsid w:val="00E22B51"/>
    <w:rsid w:val="00E34A3E"/>
    <w:rsid w:val="00E4015E"/>
    <w:rsid w:val="00E50045"/>
    <w:rsid w:val="00E50FB0"/>
    <w:rsid w:val="00E6098A"/>
    <w:rsid w:val="00E72B51"/>
    <w:rsid w:val="00E72E4A"/>
    <w:rsid w:val="00E8545A"/>
    <w:rsid w:val="00EA19A7"/>
    <w:rsid w:val="00EA2EFF"/>
    <w:rsid w:val="00EA759A"/>
    <w:rsid w:val="00EB1DF6"/>
    <w:rsid w:val="00EB4E81"/>
    <w:rsid w:val="00EC15CF"/>
    <w:rsid w:val="00EC21AE"/>
    <w:rsid w:val="00EC3F64"/>
    <w:rsid w:val="00ED38FD"/>
    <w:rsid w:val="00ED6D2B"/>
    <w:rsid w:val="00ED7378"/>
    <w:rsid w:val="00EE188F"/>
    <w:rsid w:val="00EF6C0C"/>
    <w:rsid w:val="00F04F78"/>
    <w:rsid w:val="00F14596"/>
    <w:rsid w:val="00F15421"/>
    <w:rsid w:val="00F15742"/>
    <w:rsid w:val="00F22FE3"/>
    <w:rsid w:val="00F2633B"/>
    <w:rsid w:val="00F31CB6"/>
    <w:rsid w:val="00F341B3"/>
    <w:rsid w:val="00F42228"/>
    <w:rsid w:val="00F541A1"/>
    <w:rsid w:val="00F558B2"/>
    <w:rsid w:val="00F848A2"/>
    <w:rsid w:val="00F90E74"/>
    <w:rsid w:val="00FB33B0"/>
    <w:rsid w:val="00FB440E"/>
    <w:rsid w:val="00FB4D79"/>
    <w:rsid w:val="00FB5BB5"/>
    <w:rsid w:val="00FC0F7A"/>
    <w:rsid w:val="00FC4469"/>
    <w:rsid w:val="00FD05CC"/>
    <w:rsid w:val="00FD0905"/>
    <w:rsid w:val="00FE34E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Type"/>
  <w:smartTagType w:namespaceuri="urn:schemas-microsoft-com:office:smarttags" w:name="place"/>
  <w:smartTagType w:namespaceuri="urn:schemas-microsoft-com:office:smarttags" w:name="PlaceName"/>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6CA"/>
    <w:rPr>
      <w:lang w:eastAsia="en-US"/>
    </w:rPr>
  </w:style>
  <w:style w:type="paragraph" w:styleId="Heading1">
    <w:name w:val="heading 1"/>
    <w:basedOn w:val="Normal"/>
    <w:next w:val="Normal"/>
    <w:link w:val="Heading1Char"/>
    <w:uiPriority w:val="99"/>
    <w:qFormat/>
    <w:locked/>
    <w:rsid w:val="00FC44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locked/>
    <w:rsid w:val="00FC4469"/>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locked/>
    <w:rsid w:val="009E3E39"/>
    <w:pPr>
      <w:spacing w:before="100" w:beforeAutospacing="1" w:after="100" w:afterAutospacing="1"/>
      <w:outlineLvl w:val="2"/>
    </w:pPr>
    <w:rPr>
      <w:rFonts w:ascii="Times New Roman" w:hAnsi="Times New Roman"/>
      <w:b/>
      <w:bCs/>
      <w:sz w:val="27"/>
      <w:szCs w:val="27"/>
    </w:rPr>
  </w:style>
  <w:style w:type="paragraph" w:styleId="Heading5">
    <w:name w:val="heading 5"/>
    <w:basedOn w:val="Normal"/>
    <w:next w:val="Normal"/>
    <w:link w:val="Heading5Char"/>
    <w:uiPriority w:val="99"/>
    <w:qFormat/>
    <w:locked/>
    <w:rsid w:val="00013867"/>
    <w:pPr>
      <w:spacing w:before="240" w:after="60"/>
      <w:outlineLvl w:val="4"/>
    </w:pPr>
    <w:rPr>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A47DB"/>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8A47DB"/>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872BE5"/>
    <w:rPr>
      <w:rFonts w:ascii="Cambria" w:hAnsi="Cambria" w:cs="Times New Roman"/>
      <w:b/>
      <w:bCs/>
      <w:sz w:val="26"/>
      <w:szCs w:val="26"/>
    </w:rPr>
  </w:style>
  <w:style w:type="character" w:customStyle="1" w:styleId="Heading5Char">
    <w:name w:val="Heading 5 Char"/>
    <w:basedOn w:val="DefaultParagraphFont"/>
    <w:link w:val="Heading5"/>
    <w:uiPriority w:val="99"/>
    <w:locked/>
    <w:rsid w:val="00340D4B"/>
    <w:rPr>
      <w:rFonts w:ascii="Calibri" w:hAnsi="Calibri" w:cs="Times New Roman"/>
      <w:b/>
      <w:bCs/>
      <w:i/>
      <w:iCs/>
      <w:sz w:val="26"/>
      <w:szCs w:val="26"/>
      <w:lang w:val="en-US" w:eastAsia="en-US" w:bidi="ar-SA"/>
    </w:rPr>
  </w:style>
  <w:style w:type="paragraph" w:styleId="ListParagraph">
    <w:name w:val="List Paragraph"/>
    <w:basedOn w:val="Normal"/>
    <w:uiPriority w:val="99"/>
    <w:qFormat/>
    <w:rsid w:val="005964CE"/>
    <w:pPr>
      <w:ind w:left="720"/>
      <w:contextualSpacing/>
    </w:pPr>
  </w:style>
  <w:style w:type="paragraph" w:styleId="BalloonText">
    <w:name w:val="Balloon Text"/>
    <w:basedOn w:val="Normal"/>
    <w:link w:val="BalloonTextChar"/>
    <w:uiPriority w:val="99"/>
    <w:semiHidden/>
    <w:rsid w:val="00640BF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40BFE"/>
    <w:rPr>
      <w:rFonts w:ascii="Tahoma" w:hAnsi="Tahoma" w:cs="Tahoma"/>
      <w:sz w:val="16"/>
      <w:szCs w:val="16"/>
    </w:rPr>
  </w:style>
  <w:style w:type="paragraph" w:styleId="FootnoteText">
    <w:name w:val="footnote text"/>
    <w:basedOn w:val="Normal"/>
    <w:link w:val="FootnoteTextChar"/>
    <w:uiPriority w:val="99"/>
    <w:semiHidden/>
    <w:rsid w:val="00FC4469"/>
    <w:pPr>
      <w:contextualSpacing/>
    </w:pPr>
    <w:rPr>
      <w:rFonts w:ascii="Cambria" w:eastAsia="Times New Roman" w:hAnsi="Cambria"/>
      <w:sz w:val="20"/>
      <w:szCs w:val="20"/>
    </w:rPr>
  </w:style>
  <w:style w:type="character" w:customStyle="1" w:styleId="FootnoteTextChar">
    <w:name w:val="Footnote Text Char"/>
    <w:basedOn w:val="DefaultParagraphFont"/>
    <w:link w:val="FootnoteText"/>
    <w:uiPriority w:val="99"/>
    <w:semiHidden/>
    <w:locked/>
    <w:rsid w:val="00FC4469"/>
    <w:rPr>
      <w:rFonts w:ascii="Cambria" w:hAnsi="Cambria" w:cs="Times New Roman"/>
      <w:lang w:val="en-US" w:eastAsia="en-US" w:bidi="ar-SA"/>
    </w:rPr>
  </w:style>
  <w:style w:type="character" w:styleId="FootnoteReference">
    <w:name w:val="footnote reference"/>
    <w:basedOn w:val="DefaultParagraphFont"/>
    <w:uiPriority w:val="99"/>
    <w:semiHidden/>
    <w:rsid w:val="00FC4469"/>
    <w:rPr>
      <w:rFonts w:cs="Times New Roman"/>
      <w:vertAlign w:val="superscript"/>
    </w:rPr>
  </w:style>
  <w:style w:type="paragraph" w:customStyle="1" w:styleId="Heading">
    <w:name w:val="Heading"/>
    <w:basedOn w:val="Normal"/>
    <w:next w:val="BodyText"/>
    <w:uiPriority w:val="99"/>
    <w:rsid w:val="001000AC"/>
    <w:pPr>
      <w:keepNext/>
      <w:widowControl w:val="0"/>
      <w:suppressAutoHyphens/>
      <w:spacing w:before="240" w:after="120"/>
    </w:pPr>
    <w:rPr>
      <w:rFonts w:ascii="Arial" w:eastAsia="MS Mincho" w:hAnsi="Arial" w:cs="Tahoma"/>
      <w:kern w:val="1"/>
      <w:sz w:val="28"/>
      <w:szCs w:val="28"/>
    </w:rPr>
  </w:style>
  <w:style w:type="paragraph" w:styleId="BodyText">
    <w:name w:val="Body Text"/>
    <w:basedOn w:val="Normal"/>
    <w:link w:val="BodyTextChar"/>
    <w:uiPriority w:val="99"/>
    <w:rsid w:val="001000AC"/>
    <w:pPr>
      <w:spacing w:after="120"/>
    </w:pPr>
  </w:style>
  <w:style w:type="character" w:customStyle="1" w:styleId="BodyTextChar">
    <w:name w:val="Body Text Char"/>
    <w:basedOn w:val="DefaultParagraphFont"/>
    <w:link w:val="BodyText"/>
    <w:uiPriority w:val="99"/>
    <w:semiHidden/>
    <w:locked/>
    <w:rsid w:val="008A47DB"/>
    <w:rPr>
      <w:rFonts w:cs="Times New Roman"/>
    </w:rPr>
  </w:style>
  <w:style w:type="paragraph" w:styleId="Footer">
    <w:name w:val="footer"/>
    <w:basedOn w:val="Normal"/>
    <w:link w:val="FooterChar"/>
    <w:uiPriority w:val="99"/>
    <w:rsid w:val="00FD0905"/>
    <w:pPr>
      <w:tabs>
        <w:tab w:val="center" w:pos="4320"/>
        <w:tab w:val="right" w:pos="8640"/>
      </w:tabs>
    </w:pPr>
  </w:style>
  <w:style w:type="character" w:customStyle="1" w:styleId="FooterChar">
    <w:name w:val="Footer Char"/>
    <w:basedOn w:val="DefaultParagraphFont"/>
    <w:link w:val="Footer"/>
    <w:uiPriority w:val="99"/>
    <w:semiHidden/>
    <w:locked/>
    <w:rsid w:val="008A47DB"/>
    <w:rPr>
      <w:rFonts w:cs="Times New Roman"/>
    </w:rPr>
  </w:style>
  <w:style w:type="character" w:styleId="PageNumber">
    <w:name w:val="page number"/>
    <w:basedOn w:val="DefaultParagraphFont"/>
    <w:uiPriority w:val="99"/>
    <w:rsid w:val="00FD0905"/>
    <w:rPr>
      <w:rFonts w:cs="Times New Roman"/>
    </w:rPr>
  </w:style>
  <w:style w:type="character" w:styleId="Hyperlink">
    <w:name w:val="Hyperlink"/>
    <w:basedOn w:val="DefaultParagraphFont"/>
    <w:uiPriority w:val="99"/>
    <w:rsid w:val="00F2633B"/>
    <w:rPr>
      <w:rFonts w:cs="Times New Roman"/>
      <w:color w:val="0000FF"/>
      <w:u w:val="single"/>
    </w:rPr>
  </w:style>
  <w:style w:type="character" w:styleId="Strong">
    <w:name w:val="Strong"/>
    <w:basedOn w:val="DefaultParagraphFont"/>
    <w:uiPriority w:val="99"/>
    <w:qFormat/>
    <w:locked/>
    <w:rsid w:val="00013867"/>
    <w:rPr>
      <w:rFonts w:cs="Times New Roman"/>
      <w:b/>
      <w:bCs/>
    </w:rPr>
  </w:style>
  <w:style w:type="paragraph" w:styleId="NormalWeb">
    <w:name w:val="Normal (Web)"/>
    <w:basedOn w:val="Normal"/>
    <w:uiPriority w:val="99"/>
    <w:rsid w:val="00013867"/>
    <w:pPr>
      <w:spacing w:before="100" w:beforeAutospacing="1" w:after="100" w:afterAutospacing="1"/>
    </w:pPr>
    <w:rPr>
      <w:rFonts w:ascii="Times New Roman" w:eastAsia="MS Mincho" w:hAnsi="Times New Roman"/>
      <w:sz w:val="24"/>
      <w:szCs w:val="24"/>
    </w:rPr>
  </w:style>
  <w:style w:type="paragraph" w:customStyle="1" w:styleId="spip">
    <w:name w:val="spip"/>
    <w:basedOn w:val="Normal"/>
    <w:uiPriority w:val="99"/>
    <w:rsid w:val="00013867"/>
    <w:pPr>
      <w:spacing w:before="100" w:beforeAutospacing="1" w:after="100" w:afterAutospacing="1"/>
    </w:pPr>
    <w:rPr>
      <w:rFonts w:ascii="Times New Roman" w:eastAsia="MS Mincho" w:hAnsi="Times New Roman"/>
      <w:sz w:val="24"/>
      <w:szCs w:val="24"/>
    </w:rPr>
  </w:style>
  <w:style w:type="character" w:styleId="Emphasis">
    <w:name w:val="Emphasis"/>
    <w:basedOn w:val="DefaultParagraphFont"/>
    <w:uiPriority w:val="99"/>
    <w:qFormat/>
    <w:locked/>
    <w:rsid w:val="00E4015E"/>
    <w:rPr>
      <w:rFonts w:cs="Times New Roman"/>
      <w:i/>
      <w:iCs/>
    </w:rPr>
  </w:style>
  <w:style w:type="paragraph" w:styleId="Header">
    <w:name w:val="header"/>
    <w:basedOn w:val="Normal"/>
    <w:link w:val="HeaderChar"/>
    <w:uiPriority w:val="99"/>
    <w:rsid w:val="00772D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character" w:styleId="CommentReference">
    <w:name w:val="annotation reference"/>
    <w:basedOn w:val="DefaultParagraphFont"/>
    <w:uiPriority w:val="99"/>
    <w:semiHidden/>
    <w:rsid w:val="00C04D1E"/>
    <w:rPr>
      <w:rFonts w:cs="Times New Roman"/>
      <w:sz w:val="18"/>
      <w:szCs w:val="18"/>
    </w:rPr>
  </w:style>
  <w:style w:type="paragraph" w:styleId="CommentText">
    <w:name w:val="annotation text"/>
    <w:basedOn w:val="Normal"/>
    <w:link w:val="CommentTextChar"/>
    <w:uiPriority w:val="99"/>
    <w:semiHidden/>
    <w:rsid w:val="00C04D1E"/>
    <w:rPr>
      <w:rFonts w:cs="Calibri"/>
      <w:sz w:val="24"/>
      <w:szCs w:val="24"/>
    </w:rPr>
  </w:style>
  <w:style w:type="character" w:customStyle="1" w:styleId="CommentTextChar">
    <w:name w:val="Comment Text Char"/>
    <w:basedOn w:val="DefaultParagraphFont"/>
    <w:link w:val="CommentText"/>
    <w:uiPriority w:val="99"/>
    <w:semiHidden/>
    <w:locked/>
    <w:rsid w:val="00C04D1E"/>
    <w:rPr>
      <w:rFonts w:eastAsia="Times New Roman" w:cs="Calibri"/>
      <w:sz w:val="24"/>
      <w:szCs w:val="24"/>
    </w:rPr>
  </w:style>
  <w:style w:type="character" w:customStyle="1" w:styleId="major">
    <w:name w:val="major"/>
    <w:basedOn w:val="DefaultParagraphFont"/>
    <w:uiPriority w:val="99"/>
    <w:rsid w:val="00500CBF"/>
    <w:rPr>
      <w:rFonts w:cs="Times New Roman"/>
    </w:rPr>
  </w:style>
  <w:style w:type="paragraph" w:customStyle="1" w:styleId="Default">
    <w:name w:val="Default"/>
    <w:uiPriority w:val="99"/>
    <w:rsid w:val="00135651"/>
    <w:pPr>
      <w:autoSpaceDE w:val="0"/>
      <w:autoSpaceDN w:val="0"/>
      <w:adjustRightInd w:val="0"/>
    </w:pPr>
    <w:rPr>
      <w:rFonts w:ascii="Arial" w:hAnsi="Arial" w:cs="Arial"/>
      <w:color w:val="000000"/>
      <w:sz w:val="24"/>
      <w:szCs w:val="24"/>
      <w:lang w:eastAsia="en-US"/>
    </w:rPr>
  </w:style>
  <w:style w:type="paragraph" w:customStyle="1" w:styleId="plain">
    <w:name w:val="plain"/>
    <w:basedOn w:val="Normal"/>
    <w:uiPriority w:val="99"/>
    <w:rsid w:val="005E650C"/>
    <w:rPr>
      <w:rFonts w:ascii="Arial" w:eastAsia="Times New Roman" w:hAnsi="Arial" w:cs="Arial"/>
      <w:color w:val="646464"/>
      <w:sz w:val="18"/>
      <w:szCs w:val="18"/>
    </w:rPr>
  </w:style>
  <w:style w:type="character" w:customStyle="1" w:styleId="citationbook">
    <w:name w:val="citation book"/>
    <w:basedOn w:val="DefaultParagraphFont"/>
    <w:uiPriority w:val="99"/>
    <w:rsid w:val="00084549"/>
    <w:rPr>
      <w:rFonts w:cs="Times New Roman"/>
    </w:rPr>
  </w:style>
  <w:style w:type="character" w:customStyle="1" w:styleId="printonly">
    <w:name w:val="printonly"/>
    <w:basedOn w:val="DefaultParagraphFont"/>
    <w:uiPriority w:val="99"/>
    <w:rsid w:val="00084549"/>
    <w:rPr>
      <w:rFonts w:cs="Times New Roman"/>
    </w:rPr>
  </w:style>
  <w:style w:type="paragraph" w:styleId="Title">
    <w:name w:val="Title"/>
    <w:aliases w:val="title"/>
    <w:basedOn w:val="Normal"/>
    <w:link w:val="TitleChar"/>
    <w:uiPriority w:val="99"/>
    <w:qFormat/>
    <w:locked/>
    <w:rsid w:val="00084549"/>
    <w:pPr>
      <w:spacing w:beforeLines="1" w:afterLines="1"/>
    </w:pPr>
    <w:rPr>
      <w:rFonts w:ascii="Times" w:hAnsi="Times"/>
      <w:sz w:val="20"/>
      <w:szCs w:val="20"/>
    </w:rPr>
  </w:style>
  <w:style w:type="character" w:customStyle="1" w:styleId="TitleChar">
    <w:name w:val="Title Char"/>
    <w:aliases w:val="title Char"/>
    <w:basedOn w:val="DefaultParagraphFont"/>
    <w:link w:val="Title"/>
    <w:uiPriority w:val="99"/>
    <w:locked/>
    <w:rsid w:val="00084549"/>
    <w:rPr>
      <w:rFonts w:ascii="Times" w:eastAsia="Times New Roman" w:hAnsi="Times" w:cs="Times New Roman"/>
    </w:rPr>
  </w:style>
  <w:style w:type="paragraph" w:customStyle="1" w:styleId="rprtbody">
    <w:name w:val="rprtbody"/>
    <w:basedOn w:val="Normal"/>
    <w:uiPriority w:val="99"/>
    <w:rsid w:val="00084549"/>
    <w:pPr>
      <w:spacing w:beforeLines="1" w:afterLines="1"/>
    </w:pPr>
    <w:rPr>
      <w:rFonts w:ascii="Times" w:hAnsi="Times"/>
      <w:sz w:val="20"/>
      <w:szCs w:val="20"/>
    </w:rPr>
  </w:style>
  <w:style w:type="paragraph" w:customStyle="1" w:styleId="aux">
    <w:name w:val="aux"/>
    <w:basedOn w:val="Normal"/>
    <w:uiPriority w:val="99"/>
    <w:rsid w:val="00084549"/>
    <w:pPr>
      <w:spacing w:beforeLines="1" w:afterLines="1"/>
    </w:pPr>
    <w:rPr>
      <w:rFonts w:ascii="Times" w:hAnsi="Times"/>
      <w:sz w:val="20"/>
      <w:szCs w:val="20"/>
    </w:rPr>
  </w:style>
  <w:style w:type="character" w:customStyle="1" w:styleId="src">
    <w:name w:val="src"/>
    <w:basedOn w:val="DefaultParagraphFont"/>
    <w:uiPriority w:val="99"/>
    <w:rsid w:val="00084549"/>
    <w:rPr>
      <w:rFonts w:cs="Times New Roman"/>
    </w:rPr>
  </w:style>
  <w:style w:type="character" w:customStyle="1" w:styleId="jrnl">
    <w:name w:val="jrnl"/>
    <w:basedOn w:val="DefaultParagraphFont"/>
    <w:uiPriority w:val="99"/>
    <w:rsid w:val="00084549"/>
    <w:rPr>
      <w:rFonts w:cs="Times New Roman"/>
    </w:rPr>
  </w:style>
  <w:style w:type="character" w:customStyle="1" w:styleId="rprtid">
    <w:name w:val="rprtid"/>
    <w:basedOn w:val="DefaultParagraphFont"/>
    <w:uiPriority w:val="99"/>
    <w:rsid w:val="00084549"/>
    <w:rPr>
      <w:rFonts w:cs="Times New Roman"/>
    </w:rPr>
  </w:style>
  <w:style w:type="paragraph" w:customStyle="1" w:styleId="citation">
    <w:name w:val="citation"/>
    <w:basedOn w:val="Normal"/>
    <w:uiPriority w:val="99"/>
    <w:rsid w:val="00084549"/>
    <w:pPr>
      <w:spacing w:beforeLines="1" w:afterLines="1"/>
    </w:pPr>
    <w:rPr>
      <w:rFonts w:ascii="Times" w:hAnsi="Times"/>
      <w:sz w:val="20"/>
      <w:szCs w:val="20"/>
    </w:rPr>
  </w:style>
  <w:style w:type="paragraph" w:customStyle="1" w:styleId="authlist">
    <w:name w:val="auth_list"/>
    <w:basedOn w:val="Normal"/>
    <w:uiPriority w:val="99"/>
    <w:rsid w:val="00084549"/>
    <w:pPr>
      <w:spacing w:beforeLines="1" w:afterLines="1"/>
    </w:pPr>
    <w:rPr>
      <w:rFonts w:ascii="Times" w:hAnsi="Times"/>
      <w:sz w:val="20"/>
      <w:szCs w:val="20"/>
    </w:rPr>
  </w:style>
  <w:style w:type="character" w:customStyle="1" w:styleId="pmid">
    <w:name w:val="pmid"/>
    <w:basedOn w:val="DefaultParagraphFont"/>
    <w:uiPriority w:val="99"/>
    <w:rsid w:val="00084549"/>
    <w:rPr>
      <w:rFonts w:cs="Times New Roman"/>
    </w:rPr>
  </w:style>
  <w:style w:type="paragraph" w:styleId="PlainText">
    <w:name w:val="Plain Text"/>
    <w:basedOn w:val="Normal"/>
    <w:link w:val="PlainTextChar"/>
    <w:uiPriority w:val="99"/>
    <w:semiHidden/>
    <w:rsid w:val="00C302F9"/>
    <w:rPr>
      <w:rFonts w:ascii="Consolas" w:hAnsi="Consolas"/>
      <w:sz w:val="21"/>
      <w:szCs w:val="21"/>
    </w:rPr>
  </w:style>
  <w:style w:type="character" w:customStyle="1" w:styleId="PlainTextChar">
    <w:name w:val="Plain Text Char"/>
    <w:basedOn w:val="DefaultParagraphFont"/>
    <w:link w:val="PlainText"/>
    <w:uiPriority w:val="99"/>
    <w:semiHidden/>
    <w:locked/>
    <w:rsid w:val="00C302F9"/>
    <w:rPr>
      <w:rFonts w:ascii="Consolas" w:eastAsia="Times New Roman" w:hAnsi="Consolas" w:cs="Times New Roman"/>
      <w:sz w:val="21"/>
      <w:szCs w:val="21"/>
    </w:rPr>
  </w:style>
</w:styles>
</file>

<file path=word/webSettings.xml><?xml version="1.0" encoding="utf-8"?>
<w:webSettings xmlns:r="http://schemas.openxmlformats.org/officeDocument/2006/relationships" xmlns:w="http://schemas.openxmlformats.org/wordprocessingml/2006/main">
  <w:divs>
    <w:div w:id="1845778232">
      <w:marLeft w:val="0"/>
      <w:marRight w:val="0"/>
      <w:marTop w:val="0"/>
      <w:marBottom w:val="0"/>
      <w:divBdr>
        <w:top w:val="none" w:sz="0" w:space="0" w:color="auto"/>
        <w:left w:val="none" w:sz="0" w:space="0" w:color="auto"/>
        <w:bottom w:val="none" w:sz="0" w:space="0" w:color="auto"/>
        <w:right w:val="none" w:sz="0" w:space="0" w:color="auto"/>
      </w:divBdr>
      <w:divsChild>
        <w:div w:id="1845778240">
          <w:marLeft w:val="0"/>
          <w:marRight w:val="0"/>
          <w:marTop w:val="0"/>
          <w:marBottom w:val="0"/>
          <w:divBdr>
            <w:top w:val="none" w:sz="0" w:space="0" w:color="auto"/>
            <w:left w:val="none" w:sz="0" w:space="0" w:color="auto"/>
            <w:bottom w:val="none" w:sz="0" w:space="0" w:color="auto"/>
            <w:right w:val="none" w:sz="0" w:space="0" w:color="auto"/>
          </w:divBdr>
          <w:divsChild>
            <w:div w:id="184577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78237">
      <w:marLeft w:val="0"/>
      <w:marRight w:val="0"/>
      <w:marTop w:val="0"/>
      <w:marBottom w:val="0"/>
      <w:divBdr>
        <w:top w:val="none" w:sz="0" w:space="0" w:color="auto"/>
        <w:left w:val="none" w:sz="0" w:space="0" w:color="auto"/>
        <w:bottom w:val="none" w:sz="0" w:space="0" w:color="auto"/>
        <w:right w:val="none" w:sz="0" w:space="0" w:color="auto"/>
      </w:divBdr>
      <w:divsChild>
        <w:div w:id="1845778245">
          <w:marLeft w:val="0"/>
          <w:marRight w:val="0"/>
          <w:marTop w:val="0"/>
          <w:marBottom w:val="0"/>
          <w:divBdr>
            <w:top w:val="none" w:sz="0" w:space="0" w:color="auto"/>
            <w:left w:val="none" w:sz="0" w:space="0" w:color="auto"/>
            <w:bottom w:val="none" w:sz="0" w:space="0" w:color="auto"/>
            <w:right w:val="none" w:sz="0" w:space="0" w:color="auto"/>
          </w:divBdr>
          <w:divsChild>
            <w:div w:id="1845778225">
              <w:marLeft w:val="0"/>
              <w:marRight w:val="0"/>
              <w:marTop w:val="0"/>
              <w:marBottom w:val="0"/>
              <w:divBdr>
                <w:top w:val="none" w:sz="0" w:space="0" w:color="auto"/>
                <w:left w:val="none" w:sz="0" w:space="0" w:color="auto"/>
                <w:bottom w:val="none" w:sz="0" w:space="0" w:color="auto"/>
                <w:right w:val="none" w:sz="0" w:space="0" w:color="auto"/>
              </w:divBdr>
            </w:div>
            <w:div w:id="1845778226">
              <w:marLeft w:val="0"/>
              <w:marRight w:val="0"/>
              <w:marTop w:val="0"/>
              <w:marBottom w:val="0"/>
              <w:divBdr>
                <w:top w:val="none" w:sz="0" w:space="0" w:color="auto"/>
                <w:left w:val="none" w:sz="0" w:space="0" w:color="auto"/>
                <w:bottom w:val="none" w:sz="0" w:space="0" w:color="auto"/>
                <w:right w:val="none" w:sz="0" w:space="0" w:color="auto"/>
              </w:divBdr>
            </w:div>
            <w:div w:id="1845778227">
              <w:marLeft w:val="0"/>
              <w:marRight w:val="0"/>
              <w:marTop w:val="0"/>
              <w:marBottom w:val="0"/>
              <w:divBdr>
                <w:top w:val="none" w:sz="0" w:space="0" w:color="auto"/>
                <w:left w:val="none" w:sz="0" w:space="0" w:color="auto"/>
                <w:bottom w:val="none" w:sz="0" w:space="0" w:color="auto"/>
                <w:right w:val="none" w:sz="0" w:space="0" w:color="auto"/>
              </w:divBdr>
            </w:div>
            <w:div w:id="1845778228">
              <w:marLeft w:val="0"/>
              <w:marRight w:val="0"/>
              <w:marTop w:val="0"/>
              <w:marBottom w:val="0"/>
              <w:divBdr>
                <w:top w:val="none" w:sz="0" w:space="0" w:color="auto"/>
                <w:left w:val="none" w:sz="0" w:space="0" w:color="auto"/>
                <w:bottom w:val="none" w:sz="0" w:space="0" w:color="auto"/>
                <w:right w:val="none" w:sz="0" w:space="0" w:color="auto"/>
              </w:divBdr>
            </w:div>
            <w:div w:id="1845778229">
              <w:marLeft w:val="0"/>
              <w:marRight w:val="0"/>
              <w:marTop w:val="0"/>
              <w:marBottom w:val="0"/>
              <w:divBdr>
                <w:top w:val="none" w:sz="0" w:space="0" w:color="auto"/>
                <w:left w:val="none" w:sz="0" w:space="0" w:color="auto"/>
                <w:bottom w:val="none" w:sz="0" w:space="0" w:color="auto"/>
                <w:right w:val="none" w:sz="0" w:space="0" w:color="auto"/>
              </w:divBdr>
            </w:div>
            <w:div w:id="1845778230">
              <w:marLeft w:val="0"/>
              <w:marRight w:val="0"/>
              <w:marTop w:val="0"/>
              <w:marBottom w:val="0"/>
              <w:divBdr>
                <w:top w:val="none" w:sz="0" w:space="0" w:color="auto"/>
                <w:left w:val="none" w:sz="0" w:space="0" w:color="auto"/>
                <w:bottom w:val="none" w:sz="0" w:space="0" w:color="auto"/>
                <w:right w:val="none" w:sz="0" w:space="0" w:color="auto"/>
              </w:divBdr>
            </w:div>
            <w:div w:id="1845778233">
              <w:marLeft w:val="0"/>
              <w:marRight w:val="0"/>
              <w:marTop w:val="0"/>
              <w:marBottom w:val="0"/>
              <w:divBdr>
                <w:top w:val="none" w:sz="0" w:space="0" w:color="auto"/>
                <w:left w:val="none" w:sz="0" w:space="0" w:color="auto"/>
                <w:bottom w:val="none" w:sz="0" w:space="0" w:color="auto"/>
                <w:right w:val="none" w:sz="0" w:space="0" w:color="auto"/>
              </w:divBdr>
            </w:div>
            <w:div w:id="1845778234">
              <w:marLeft w:val="0"/>
              <w:marRight w:val="0"/>
              <w:marTop w:val="0"/>
              <w:marBottom w:val="0"/>
              <w:divBdr>
                <w:top w:val="none" w:sz="0" w:space="0" w:color="auto"/>
                <w:left w:val="none" w:sz="0" w:space="0" w:color="auto"/>
                <w:bottom w:val="none" w:sz="0" w:space="0" w:color="auto"/>
                <w:right w:val="none" w:sz="0" w:space="0" w:color="auto"/>
              </w:divBdr>
            </w:div>
            <w:div w:id="1845778235">
              <w:marLeft w:val="0"/>
              <w:marRight w:val="0"/>
              <w:marTop w:val="0"/>
              <w:marBottom w:val="0"/>
              <w:divBdr>
                <w:top w:val="none" w:sz="0" w:space="0" w:color="auto"/>
                <w:left w:val="none" w:sz="0" w:space="0" w:color="auto"/>
                <w:bottom w:val="none" w:sz="0" w:space="0" w:color="auto"/>
                <w:right w:val="none" w:sz="0" w:space="0" w:color="auto"/>
              </w:divBdr>
            </w:div>
            <w:div w:id="1845778236">
              <w:marLeft w:val="0"/>
              <w:marRight w:val="0"/>
              <w:marTop w:val="0"/>
              <w:marBottom w:val="0"/>
              <w:divBdr>
                <w:top w:val="none" w:sz="0" w:space="0" w:color="auto"/>
                <w:left w:val="none" w:sz="0" w:space="0" w:color="auto"/>
                <w:bottom w:val="none" w:sz="0" w:space="0" w:color="auto"/>
                <w:right w:val="none" w:sz="0" w:space="0" w:color="auto"/>
              </w:divBdr>
            </w:div>
            <w:div w:id="1845778238">
              <w:marLeft w:val="0"/>
              <w:marRight w:val="0"/>
              <w:marTop w:val="0"/>
              <w:marBottom w:val="0"/>
              <w:divBdr>
                <w:top w:val="none" w:sz="0" w:space="0" w:color="auto"/>
                <w:left w:val="none" w:sz="0" w:space="0" w:color="auto"/>
                <w:bottom w:val="none" w:sz="0" w:space="0" w:color="auto"/>
                <w:right w:val="none" w:sz="0" w:space="0" w:color="auto"/>
              </w:divBdr>
            </w:div>
            <w:div w:id="1845778239">
              <w:marLeft w:val="0"/>
              <w:marRight w:val="0"/>
              <w:marTop w:val="0"/>
              <w:marBottom w:val="0"/>
              <w:divBdr>
                <w:top w:val="none" w:sz="0" w:space="0" w:color="auto"/>
                <w:left w:val="none" w:sz="0" w:space="0" w:color="auto"/>
                <w:bottom w:val="none" w:sz="0" w:space="0" w:color="auto"/>
                <w:right w:val="none" w:sz="0" w:space="0" w:color="auto"/>
              </w:divBdr>
            </w:div>
            <w:div w:id="1845778241">
              <w:marLeft w:val="0"/>
              <w:marRight w:val="0"/>
              <w:marTop w:val="0"/>
              <w:marBottom w:val="0"/>
              <w:divBdr>
                <w:top w:val="none" w:sz="0" w:space="0" w:color="auto"/>
                <w:left w:val="none" w:sz="0" w:space="0" w:color="auto"/>
                <w:bottom w:val="none" w:sz="0" w:space="0" w:color="auto"/>
                <w:right w:val="none" w:sz="0" w:space="0" w:color="auto"/>
              </w:divBdr>
            </w:div>
            <w:div w:id="1845778242">
              <w:marLeft w:val="0"/>
              <w:marRight w:val="0"/>
              <w:marTop w:val="0"/>
              <w:marBottom w:val="0"/>
              <w:divBdr>
                <w:top w:val="none" w:sz="0" w:space="0" w:color="auto"/>
                <w:left w:val="none" w:sz="0" w:space="0" w:color="auto"/>
                <w:bottom w:val="none" w:sz="0" w:space="0" w:color="auto"/>
                <w:right w:val="none" w:sz="0" w:space="0" w:color="auto"/>
              </w:divBdr>
            </w:div>
            <w:div w:id="1845778243">
              <w:marLeft w:val="0"/>
              <w:marRight w:val="0"/>
              <w:marTop w:val="0"/>
              <w:marBottom w:val="0"/>
              <w:divBdr>
                <w:top w:val="none" w:sz="0" w:space="0" w:color="auto"/>
                <w:left w:val="none" w:sz="0" w:space="0" w:color="auto"/>
                <w:bottom w:val="none" w:sz="0" w:space="0" w:color="auto"/>
                <w:right w:val="none" w:sz="0" w:space="0" w:color="auto"/>
              </w:divBdr>
            </w:div>
            <w:div w:id="1845778244">
              <w:marLeft w:val="0"/>
              <w:marRight w:val="0"/>
              <w:marTop w:val="0"/>
              <w:marBottom w:val="0"/>
              <w:divBdr>
                <w:top w:val="none" w:sz="0" w:space="0" w:color="auto"/>
                <w:left w:val="none" w:sz="0" w:space="0" w:color="auto"/>
                <w:bottom w:val="none" w:sz="0" w:space="0" w:color="auto"/>
                <w:right w:val="none" w:sz="0" w:space="0" w:color="auto"/>
              </w:divBdr>
            </w:div>
            <w:div w:id="184577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78247">
      <w:marLeft w:val="0"/>
      <w:marRight w:val="0"/>
      <w:marTop w:val="0"/>
      <w:marBottom w:val="0"/>
      <w:divBdr>
        <w:top w:val="none" w:sz="0" w:space="0" w:color="auto"/>
        <w:left w:val="none" w:sz="0" w:space="0" w:color="auto"/>
        <w:bottom w:val="none" w:sz="0" w:space="0" w:color="auto"/>
        <w:right w:val="none" w:sz="0" w:space="0" w:color="auto"/>
      </w:divBdr>
    </w:div>
    <w:div w:id="1845778248">
      <w:marLeft w:val="0"/>
      <w:marRight w:val="0"/>
      <w:marTop w:val="0"/>
      <w:marBottom w:val="0"/>
      <w:divBdr>
        <w:top w:val="none" w:sz="0" w:space="0" w:color="auto"/>
        <w:left w:val="none" w:sz="0" w:space="0" w:color="auto"/>
        <w:bottom w:val="none" w:sz="0" w:space="0" w:color="auto"/>
        <w:right w:val="none" w:sz="0" w:space="0" w:color="auto"/>
      </w:divBdr>
    </w:div>
    <w:div w:id="1845778249">
      <w:marLeft w:val="0"/>
      <w:marRight w:val="0"/>
      <w:marTop w:val="0"/>
      <w:marBottom w:val="0"/>
      <w:divBdr>
        <w:top w:val="none" w:sz="0" w:space="0" w:color="auto"/>
        <w:left w:val="none" w:sz="0" w:space="0" w:color="auto"/>
        <w:bottom w:val="none" w:sz="0" w:space="0" w:color="auto"/>
        <w:right w:val="none" w:sz="0" w:space="0" w:color="auto"/>
      </w:divBdr>
    </w:div>
    <w:div w:id="18457782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horizonpress.com/biod" TargetMode="External"/><Relationship Id="rId21" Type="http://schemas.openxmlformats.org/officeDocument/2006/relationships/image" Target="media/image13.png"/><Relationship Id="rId34" Type="http://schemas.openxmlformats.org/officeDocument/2006/relationships/hyperlink" Target="http://www.sciencedaily.com/releases/2010/04/100414111018.htm" TargetMode="External"/><Relationship Id="rId42" Type="http://schemas.openxmlformats.org/officeDocument/2006/relationships/hyperlink" Target="http://www.horizonpress.com/biod" TargetMode="External"/><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hyperlink" Target="http://poet.mit.edu/"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en.wikipedia.org/wiki/Microbial_biodegradation" TargetMode="External"/><Relationship Id="rId38" Type="http://schemas.openxmlformats.org/officeDocument/2006/relationships/hyperlink" Target="http://www.horizonpress.com/biod" TargetMode="External"/><Relationship Id="rId46" Type="http://schemas.openxmlformats.org/officeDocument/2006/relationships/hyperlink" Target="http://www.ncbi.nlm.nih.gov/pubmed/19807712"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en.wikipedia.org/wiki/Special:BookSources/1904455174" TargetMode="External"/><Relationship Id="rId54" Type="http://schemas.openxmlformats.org/officeDocument/2006/relationships/hyperlink" Target="http://web.mit.edu/s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en.wikipedia.org/wiki/Environmental_microbiology" TargetMode="External"/><Relationship Id="rId37" Type="http://schemas.openxmlformats.org/officeDocument/2006/relationships/hyperlink" Target="javascript:AL_get(this,%20'jour',%20'Nat%20Chem%20Biol.');" TargetMode="External"/><Relationship Id="rId40" Type="http://schemas.openxmlformats.org/officeDocument/2006/relationships/hyperlink" Target="http://en.wikipedia.org/wiki/International_Standard_Book_Number" TargetMode="External"/><Relationship Id="rId45" Type="http://schemas.openxmlformats.org/officeDocument/2006/relationships/hyperlink" Target="http://dx.doi.org/10.3923/rjet.2011.1.26" TargetMode="External"/><Relationship Id="rId53" Type="http://schemas.openxmlformats.org/officeDocument/2006/relationships/hyperlink" Target="http://web.mit.edu/polisci"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ncbi.nlm.nih.gov/pubmed?term=%22Copley%20SD%22%5BAuthor%5D" TargetMode="External"/><Relationship Id="rId49" Type="http://schemas.openxmlformats.org/officeDocument/2006/relationships/image" Target="media/image25.emf"/><Relationship Id="rId57"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hyperlink" Target="http://azer.com/aiweb/categories/magazine/ai102_folder/102_articles/102_oil_chronology.html" TargetMode="External"/><Relationship Id="rId44" Type="http://schemas.openxmlformats.org/officeDocument/2006/relationships/hyperlink" Target="http://www.ncbi.nlm.nih.gov/pubmed/16489346" TargetMode="External"/><Relationship Id="rId52" Type="http://schemas.openxmlformats.org/officeDocument/2006/relationships/image" Target="media/image28.emf"/><Relationship Id="rId4" Type="http://schemas.openxmlformats.org/officeDocument/2006/relationships/webSettings" Target="webSettings.xml"/><Relationship Id="rId9" Type="http://schemas.openxmlformats.org/officeDocument/2006/relationships/hyperlink" Target="http://www.linkedin.com/companies/us-epa"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ncbi.nlm.nih.gov/pubmed/7012571" TargetMode="External"/><Relationship Id="rId43" Type="http://schemas.openxmlformats.org/officeDocument/2006/relationships/hyperlink" Target="http://www.ncbi.nlm.nih.gov/pubmed/17372208" TargetMode="External"/><Relationship Id="rId48" Type="http://schemas.openxmlformats.org/officeDocument/2006/relationships/image" Target="media/image24.emf"/><Relationship Id="rId56" Type="http://schemas.openxmlformats.org/officeDocument/2006/relationships/footer" Target="footer1.xml"/><Relationship Id="rId8" Type="http://schemas.openxmlformats.org/officeDocument/2006/relationships/hyperlink" Target="mailto:rochoa@mit.edu" TargetMode="External"/><Relationship Id="rId51" Type="http://schemas.openxmlformats.org/officeDocument/2006/relationships/image" Target="media/image27.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34</Pages>
  <Words>12556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DESIGN, TESTING AND DEMONSTRATION FOR SAFETY AND SECURITY</dc:title>
  <dc:subject/>
  <dc:creator>alin</dc:creator>
  <cp:keywords/>
  <dc:description/>
  <cp:lastModifiedBy>WWICS</cp:lastModifiedBy>
  <cp:revision>2</cp:revision>
  <cp:lastPrinted>2011-01-11T20:00:00Z</cp:lastPrinted>
  <dcterms:created xsi:type="dcterms:W3CDTF">2011-01-12T20:27:00Z</dcterms:created>
  <dcterms:modified xsi:type="dcterms:W3CDTF">2011-01-12T20:27:00Z</dcterms:modified>
</cp:coreProperties>
</file>